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F41" w:rsidRPr="001459D3" w:rsidRDefault="00BA1F41" w:rsidP="00BA1F41">
      <w:pPr>
        <w:pStyle w:val="FrenchHeading"/>
      </w:pPr>
      <w:r w:rsidRPr="001459D3">
        <w:t>Appel d’offres</w:t>
      </w:r>
    </w:p>
    <w:p w:rsidR="00BA1F41" w:rsidRPr="00B34EC7" w:rsidRDefault="00BA1F41" w:rsidP="00BA1F41">
      <w:pPr>
        <w:rPr>
          <w:b/>
          <w:bCs/>
          <w:sz w:val="8"/>
          <w:szCs w:val="48"/>
        </w:rPr>
      </w:pPr>
    </w:p>
    <w:p w:rsidR="00BA1F41" w:rsidRPr="00E8257B" w:rsidRDefault="00BA1F41" w:rsidP="00BA1F41">
      <w:pPr>
        <w:pStyle w:val="Heading1a"/>
        <w:keepNext w:val="0"/>
        <w:keepLines w:val="0"/>
        <w:tabs>
          <w:tab w:val="clear" w:pos="-720"/>
        </w:tabs>
        <w:suppressAutoHyphens w:val="0"/>
        <w:spacing w:after="0"/>
        <w:rPr>
          <w:bCs/>
          <w:smallCaps w:val="0"/>
          <w:sz w:val="44"/>
          <w:szCs w:val="44"/>
          <w:lang w:val="fr-FR"/>
        </w:rPr>
      </w:pPr>
      <w:r w:rsidRPr="00E8257B">
        <w:rPr>
          <w:bCs/>
          <w:smallCaps w:val="0"/>
          <w:sz w:val="44"/>
          <w:szCs w:val="44"/>
          <w:lang w:val="fr-FR"/>
        </w:rPr>
        <w:t>Appel d’Offres International</w:t>
      </w:r>
    </w:p>
    <w:p w:rsidR="00BA1F41" w:rsidRPr="00B34EC7" w:rsidRDefault="00BA1F41" w:rsidP="00BA1F41">
      <w:pPr>
        <w:pStyle w:val="Heading1a"/>
        <w:keepNext w:val="0"/>
        <w:keepLines w:val="0"/>
        <w:tabs>
          <w:tab w:val="clear" w:pos="-720"/>
        </w:tabs>
        <w:suppressAutoHyphens w:val="0"/>
        <w:spacing w:after="0"/>
        <w:rPr>
          <w:b w:val="0"/>
          <w:bCs/>
          <w:smallCaps w:val="0"/>
          <w:sz w:val="44"/>
          <w:szCs w:val="44"/>
          <w:lang w:val="fr-FR"/>
        </w:rPr>
      </w:pPr>
      <w:r w:rsidRPr="00B34EC7">
        <w:rPr>
          <w:bCs/>
          <w:smallCaps w:val="0"/>
          <w:sz w:val="44"/>
          <w:szCs w:val="44"/>
          <w:lang w:val="fr-FR"/>
        </w:rPr>
        <w:t xml:space="preserve"> Equipements - C</w:t>
      </w:r>
      <w:r w:rsidRPr="00B34EC7">
        <w:rPr>
          <w:b w:val="0"/>
          <w:bCs/>
          <w:smallCaps w:val="0"/>
          <w:sz w:val="44"/>
          <w:szCs w:val="44"/>
          <w:lang w:val="fr-FR"/>
        </w:rPr>
        <w:t>onception</w:t>
      </w:r>
      <w:r w:rsidRPr="00B34EC7">
        <w:rPr>
          <w:b w:val="0"/>
          <w:bCs/>
          <w:smallCaps w:val="0"/>
          <w:sz w:val="44"/>
          <w:szCs w:val="44"/>
          <w:lang w:val="fr-FR"/>
        </w:rPr>
        <w:br/>
        <w:t xml:space="preserve">Fourniture - Montage d’installations </w:t>
      </w:r>
    </w:p>
    <w:p w:rsidR="00BA1F41" w:rsidRPr="00B34EC7" w:rsidRDefault="00BA1F41" w:rsidP="00BA1F41">
      <w:pPr>
        <w:pStyle w:val="Heading1a"/>
        <w:keepNext w:val="0"/>
        <w:keepLines w:val="0"/>
        <w:tabs>
          <w:tab w:val="clear" w:pos="-720"/>
        </w:tabs>
        <w:suppressAutoHyphens w:val="0"/>
        <w:spacing w:after="0"/>
        <w:rPr>
          <w:b w:val="0"/>
          <w:bCs/>
          <w:sz w:val="44"/>
          <w:szCs w:val="44"/>
          <w:lang w:val="fr-FR"/>
        </w:rPr>
      </w:pPr>
      <w:proofErr w:type="gramStart"/>
      <w:r>
        <w:rPr>
          <w:b w:val="0"/>
          <w:bCs/>
          <w:smallCaps w:val="0"/>
          <w:sz w:val="44"/>
          <w:szCs w:val="44"/>
          <w:lang w:val="fr-FR"/>
        </w:rPr>
        <w:t>pour</w:t>
      </w:r>
      <w:proofErr w:type="gramEnd"/>
      <w:r>
        <w:rPr>
          <w:b w:val="0"/>
          <w:bCs/>
          <w:smallCaps w:val="0"/>
          <w:sz w:val="44"/>
          <w:szCs w:val="44"/>
          <w:lang w:val="fr-FR"/>
        </w:rPr>
        <w:t xml:space="preserve"> l’Electrification de V</w:t>
      </w:r>
      <w:r w:rsidRPr="00B34EC7">
        <w:rPr>
          <w:b w:val="0"/>
          <w:bCs/>
          <w:smallCaps w:val="0"/>
          <w:sz w:val="44"/>
          <w:szCs w:val="44"/>
          <w:lang w:val="fr-FR"/>
        </w:rPr>
        <w:t>illages en Gambie, en Guinée Bissau et au Mali</w:t>
      </w:r>
    </w:p>
    <w:p w:rsidR="00BA1F41" w:rsidRPr="00E8257B" w:rsidRDefault="00BA1F41" w:rsidP="00BA1F41">
      <w:pPr>
        <w:jc w:val="center"/>
        <w:rPr>
          <w:b/>
          <w:sz w:val="32"/>
          <w:szCs w:val="32"/>
        </w:rPr>
      </w:pPr>
      <w:r w:rsidRPr="00E8257B">
        <w:rPr>
          <w:b/>
          <w:sz w:val="32"/>
          <w:szCs w:val="32"/>
        </w:rPr>
        <w:t>(Sans pré-qualification)</w:t>
      </w:r>
    </w:p>
    <w:p w:rsidR="00BA1F41" w:rsidRPr="00E8257B" w:rsidRDefault="00BA1F41" w:rsidP="00BA1F41">
      <w:pPr>
        <w:rPr>
          <w:b/>
          <w:sz w:val="28"/>
        </w:rPr>
      </w:pPr>
    </w:p>
    <w:p w:rsidR="00BA1F41" w:rsidRPr="00BA1F41" w:rsidRDefault="00BA1F41" w:rsidP="00BA1F41">
      <w:pPr>
        <w:jc w:val="center"/>
        <w:outlineLvl w:val="0"/>
      </w:pPr>
      <w:r w:rsidRPr="00BA1F41">
        <w:rPr>
          <w:rStyle w:val="Accentuation"/>
          <w:b/>
          <w:sz w:val="32"/>
        </w:rPr>
        <w:t xml:space="preserve">N°: </w:t>
      </w:r>
      <w:r w:rsidRPr="00BA1F41">
        <w:rPr>
          <w:b/>
          <w:sz w:val="32"/>
          <w:shd w:val="clear" w:color="auto" w:fill="FFFFFF"/>
        </w:rPr>
        <w:t>NG-ECOWAS-DEM-197717-CW-RFB</w:t>
      </w:r>
    </w:p>
    <w:p w:rsidR="00BA1F41" w:rsidRPr="00BA1F41" w:rsidRDefault="00BA1F41" w:rsidP="00BA1F41">
      <w:pPr>
        <w:jc w:val="center"/>
      </w:pPr>
      <w:r w:rsidRPr="00BA1F41">
        <w:rPr>
          <w:rStyle w:val="Accentuation"/>
          <w:b/>
          <w:sz w:val="27"/>
        </w:rPr>
        <w:t> </w:t>
      </w:r>
    </w:p>
    <w:p w:rsidR="00BA1F41" w:rsidRPr="00B34EC7" w:rsidRDefault="00BA1F41" w:rsidP="00BA1F41">
      <w:pPr>
        <w:jc w:val="both"/>
        <w:rPr>
          <w:bCs/>
          <w:sz w:val="28"/>
          <w:szCs w:val="28"/>
          <w:bdr w:val="nil"/>
          <w:lang w:eastAsia="en-US"/>
        </w:rPr>
      </w:pPr>
      <w:r w:rsidRPr="00B34EC7">
        <w:rPr>
          <w:b/>
          <w:bCs/>
          <w:sz w:val="28"/>
          <w:szCs w:val="28"/>
          <w:bdr w:val="nil"/>
          <w:lang w:eastAsia="en-US"/>
        </w:rPr>
        <w:t>Client/Maitre d’ouvrage :</w:t>
      </w:r>
      <w:r w:rsidRPr="00B34EC7">
        <w:rPr>
          <w:b/>
          <w:i/>
          <w:sz w:val="32"/>
          <w:lang w:eastAsia="en-US"/>
        </w:rPr>
        <w:t xml:space="preserve"> </w:t>
      </w:r>
      <w:r w:rsidRPr="00B34EC7">
        <w:rPr>
          <w:bCs/>
          <w:sz w:val="28"/>
          <w:szCs w:val="28"/>
          <w:bdr w:val="nil"/>
          <w:lang w:eastAsia="en-US"/>
        </w:rPr>
        <w:t xml:space="preserve">Unité de Mise en Œuvre du Projet (UMOP) de la Gambie, du Mali et de la Guinée-Bissau ainsi que </w:t>
      </w:r>
      <w:r>
        <w:rPr>
          <w:bCs/>
          <w:sz w:val="28"/>
          <w:szCs w:val="28"/>
          <w:bdr w:val="nil"/>
          <w:lang w:eastAsia="en-US"/>
        </w:rPr>
        <w:t>l’Unité Régionale de Coordination à</w:t>
      </w:r>
      <w:r w:rsidRPr="00B34EC7">
        <w:rPr>
          <w:bCs/>
          <w:sz w:val="28"/>
          <w:szCs w:val="28"/>
          <w:bdr w:val="nil"/>
          <w:lang w:eastAsia="en-US"/>
        </w:rPr>
        <w:t xml:space="preserve"> la Commission de la CEDEAO</w:t>
      </w:r>
    </w:p>
    <w:p w:rsidR="00BA1F41" w:rsidRPr="00B34EC7" w:rsidRDefault="00BA1F41" w:rsidP="00BA1F41">
      <w:pPr>
        <w:ind w:right="72"/>
        <w:jc w:val="both"/>
        <w:rPr>
          <w:b/>
          <w:bCs/>
          <w:sz w:val="12"/>
          <w:szCs w:val="28"/>
          <w:bdr w:val="nil"/>
          <w:lang w:eastAsia="en-US"/>
        </w:rPr>
      </w:pPr>
    </w:p>
    <w:p w:rsidR="00BA1F41" w:rsidRPr="00B34EC7" w:rsidRDefault="00BA1F41" w:rsidP="00BA1F41">
      <w:pPr>
        <w:ind w:right="72"/>
        <w:jc w:val="both"/>
        <w:rPr>
          <w:rStyle w:val="lev"/>
          <w:sz w:val="28"/>
          <w:szCs w:val="28"/>
        </w:rPr>
      </w:pPr>
      <w:r w:rsidRPr="00E8257B">
        <w:rPr>
          <w:b/>
          <w:bCs/>
          <w:sz w:val="28"/>
          <w:szCs w:val="28"/>
          <w:bdr w:val="nil"/>
          <w:lang w:eastAsia="en-US"/>
        </w:rPr>
        <w:t xml:space="preserve">Projet : </w:t>
      </w:r>
      <w:r w:rsidRPr="00B34EC7">
        <w:rPr>
          <w:bCs/>
          <w:sz w:val="24"/>
          <w:szCs w:val="28"/>
          <w:bdr w:val="nil"/>
          <w:lang w:eastAsia="en-US"/>
        </w:rPr>
        <w:t>PROJET RÉGIONAL D’ACCÈS À L’ÉLECTRICITÉ DE LA CEDEAO (ECOWAS-REAP) - Phase 1</w:t>
      </w:r>
      <w:r w:rsidRPr="00B34EC7">
        <w:rPr>
          <w:rStyle w:val="lev"/>
          <w:sz w:val="28"/>
          <w:szCs w:val="28"/>
        </w:rPr>
        <w:t xml:space="preserve"> Projet N° P164044</w:t>
      </w:r>
    </w:p>
    <w:p w:rsidR="00BA1F41" w:rsidRPr="00B34EC7" w:rsidRDefault="00BA1F41" w:rsidP="00BA1F41">
      <w:pPr>
        <w:jc w:val="both"/>
        <w:rPr>
          <w:b/>
          <w:sz w:val="12"/>
          <w:szCs w:val="28"/>
          <w:lang w:eastAsia="en-US"/>
        </w:rPr>
      </w:pPr>
    </w:p>
    <w:p w:rsidR="00BA1F41" w:rsidRPr="00B34EC7" w:rsidRDefault="00BA1F41" w:rsidP="00BA1F41">
      <w:pPr>
        <w:jc w:val="both"/>
        <w:rPr>
          <w:bCs/>
          <w:sz w:val="28"/>
          <w:szCs w:val="28"/>
          <w:lang w:eastAsia="en-US"/>
        </w:rPr>
      </w:pPr>
      <w:r w:rsidRPr="00B34EC7">
        <w:rPr>
          <w:b/>
          <w:bCs/>
          <w:iCs/>
          <w:sz w:val="28"/>
          <w:szCs w:val="24"/>
        </w:rPr>
        <w:t>Intitulé du Marché</w:t>
      </w:r>
      <w:r w:rsidRPr="00B34EC7">
        <w:rPr>
          <w:bCs/>
          <w:i/>
          <w:iCs/>
          <w:sz w:val="28"/>
          <w:szCs w:val="24"/>
        </w:rPr>
        <w:t> </w:t>
      </w:r>
      <w:r w:rsidRPr="00942369">
        <w:rPr>
          <w:b/>
          <w:sz w:val="28"/>
          <w:szCs w:val="28"/>
          <w:lang w:eastAsia="en-US"/>
        </w:rPr>
        <w:t>:</w:t>
      </w:r>
      <w:r w:rsidRPr="00942369">
        <w:rPr>
          <w:b/>
          <w:bCs/>
          <w:sz w:val="24"/>
          <w:szCs w:val="28"/>
          <w:bdr w:val="nil"/>
          <w:lang w:eastAsia="en-US"/>
        </w:rPr>
        <w:t xml:space="preserve"> </w:t>
      </w:r>
      <w:r w:rsidRPr="00B34EC7">
        <w:rPr>
          <w:bCs/>
          <w:sz w:val="22"/>
          <w:szCs w:val="28"/>
          <w:lang w:eastAsia="en-US"/>
        </w:rPr>
        <w:t>CONCEPTION, FOURNITURE ET MONTAGE D’INSTALLATIONS POUR L’ELECTRIFICATION DE VILLAGES EN GAMBIE, EN GUINEE BISSAU ET AU MALI</w:t>
      </w:r>
    </w:p>
    <w:p w:rsidR="00BA1F41" w:rsidRPr="00B34EC7" w:rsidRDefault="00BA1F41" w:rsidP="00BA1F41">
      <w:pPr>
        <w:rPr>
          <w:sz w:val="28"/>
          <w:szCs w:val="28"/>
          <w:lang w:eastAsia="en-US"/>
        </w:rPr>
      </w:pPr>
    </w:p>
    <w:p w:rsidR="00BA1F41" w:rsidRPr="00B34EC7" w:rsidRDefault="00BA1F41" w:rsidP="00BA1F41">
      <w:pPr>
        <w:ind w:right="72"/>
        <w:rPr>
          <w:rStyle w:val="lev"/>
          <w:sz w:val="32"/>
          <w:szCs w:val="28"/>
        </w:rPr>
      </w:pPr>
      <w:r>
        <w:rPr>
          <w:rStyle w:val="lev"/>
          <w:b/>
          <w:sz w:val="28"/>
          <w:szCs w:val="28"/>
        </w:rPr>
        <w:t>Pays</w:t>
      </w:r>
      <w:r w:rsidRPr="00E8257B">
        <w:rPr>
          <w:rStyle w:val="lev"/>
          <w:b/>
          <w:sz w:val="28"/>
          <w:szCs w:val="28"/>
        </w:rPr>
        <w:t xml:space="preserve"> : </w:t>
      </w:r>
      <w:r>
        <w:rPr>
          <w:rStyle w:val="lev"/>
          <w:sz w:val="28"/>
          <w:szCs w:val="28"/>
        </w:rPr>
        <w:t>Gambie, Guinée-Bissau et Mali</w:t>
      </w:r>
    </w:p>
    <w:p w:rsidR="00BA1F41" w:rsidRPr="00B34EC7" w:rsidRDefault="00BA1F41" w:rsidP="00BA1F41">
      <w:pPr>
        <w:rPr>
          <w:sz w:val="28"/>
          <w:szCs w:val="28"/>
          <w:lang w:eastAsia="en-US"/>
        </w:rPr>
      </w:pPr>
    </w:p>
    <w:p w:rsidR="00BA1F41" w:rsidRPr="00E8257B" w:rsidRDefault="00BA1F41" w:rsidP="00BA1F41">
      <w:pPr>
        <w:ind w:right="72"/>
        <w:rPr>
          <w:b/>
          <w:sz w:val="8"/>
          <w:szCs w:val="28"/>
        </w:rPr>
      </w:pPr>
      <w:r w:rsidRPr="00E8257B">
        <w:rPr>
          <w:rStyle w:val="lev"/>
          <w:b/>
          <w:sz w:val="28"/>
          <w:szCs w:val="28"/>
        </w:rPr>
        <w:t xml:space="preserve">Accord de financement : </w:t>
      </w:r>
      <w:r w:rsidRPr="00B34EC7">
        <w:rPr>
          <w:rStyle w:val="lev"/>
          <w:sz w:val="28"/>
          <w:szCs w:val="28"/>
        </w:rPr>
        <w:t>IDA</w:t>
      </w:r>
      <w:r w:rsidRPr="00B34EC7">
        <w:rPr>
          <w:bCs/>
          <w:iCs/>
          <w:sz w:val="28"/>
          <w:szCs w:val="24"/>
        </w:rPr>
        <w:t xml:space="preserve"> D4080 – 6352</w:t>
      </w:r>
      <w:r>
        <w:rPr>
          <w:bCs/>
          <w:iCs/>
          <w:sz w:val="28"/>
          <w:szCs w:val="24"/>
        </w:rPr>
        <w:t>GW</w:t>
      </w:r>
      <w:r w:rsidRPr="00B34EC7">
        <w:rPr>
          <w:bCs/>
          <w:iCs/>
          <w:sz w:val="28"/>
          <w:szCs w:val="24"/>
        </w:rPr>
        <w:t>/D406</w:t>
      </w:r>
      <w:r>
        <w:rPr>
          <w:bCs/>
          <w:iCs/>
          <w:sz w:val="28"/>
          <w:szCs w:val="24"/>
        </w:rPr>
        <w:t>GW</w:t>
      </w:r>
      <w:r w:rsidRPr="00B34EC7">
        <w:rPr>
          <w:bCs/>
          <w:iCs/>
          <w:sz w:val="28"/>
          <w:szCs w:val="24"/>
        </w:rPr>
        <w:t xml:space="preserve"> – 6353-ML</w:t>
      </w:r>
      <w:r>
        <w:rPr>
          <w:bCs/>
          <w:iCs/>
          <w:sz w:val="28"/>
          <w:szCs w:val="24"/>
        </w:rPr>
        <w:t>/D409ML</w:t>
      </w:r>
      <w:r w:rsidRPr="00E8257B" w:rsidDel="004E73A4">
        <w:rPr>
          <w:rStyle w:val="lev"/>
          <w:b/>
          <w:sz w:val="28"/>
          <w:szCs w:val="28"/>
        </w:rPr>
        <w:t xml:space="preserve"> </w:t>
      </w:r>
    </w:p>
    <w:p w:rsidR="00BA1F41" w:rsidRPr="00B34EC7" w:rsidRDefault="00BA1F41" w:rsidP="00BA1F41">
      <w:pPr>
        <w:rPr>
          <w:rStyle w:val="Accentuation"/>
          <w:b/>
          <w:bCs/>
          <w:szCs w:val="27"/>
        </w:rPr>
      </w:pPr>
      <w:r w:rsidRPr="00E8257B">
        <w:rPr>
          <w:rStyle w:val="Accentuation"/>
          <w:b/>
          <w:bCs/>
          <w:sz w:val="27"/>
          <w:szCs w:val="27"/>
        </w:rPr>
        <w:t> </w:t>
      </w:r>
    </w:p>
    <w:p w:rsidR="00BA1F41" w:rsidRPr="00B34EC7" w:rsidRDefault="00BA1F41" w:rsidP="00BA1F41">
      <w:pPr>
        <w:rPr>
          <w:b/>
          <w:color w:val="FF0000"/>
          <w:sz w:val="28"/>
          <w:szCs w:val="28"/>
          <w:lang w:eastAsia="en-US"/>
        </w:rPr>
      </w:pPr>
      <w:r w:rsidRPr="00B34EC7">
        <w:rPr>
          <w:b/>
          <w:sz w:val="28"/>
          <w:lang w:eastAsia="en-US"/>
        </w:rPr>
        <w:t>Date de publication </w:t>
      </w:r>
      <w:r w:rsidRPr="00B34EC7">
        <w:rPr>
          <w:b/>
          <w:sz w:val="28"/>
          <w:szCs w:val="28"/>
          <w:lang w:eastAsia="en-US"/>
        </w:rPr>
        <w:t>:</w:t>
      </w:r>
      <w:r w:rsidRPr="00B34EC7">
        <w:rPr>
          <w:sz w:val="28"/>
          <w:szCs w:val="28"/>
          <w:lang w:eastAsia="en-US"/>
        </w:rPr>
        <w:t xml:space="preserve"> </w:t>
      </w:r>
      <w:r>
        <w:rPr>
          <w:b/>
          <w:sz w:val="28"/>
          <w:szCs w:val="28"/>
          <w:lang w:eastAsia="en-US"/>
        </w:rPr>
        <w:t>10</w:t>
      </w:r>
      <w:r w:rsidRPr="00B34EC7">
        <w:rPr>
          <w:b/>
          <w:sz w:val="28"/>
          <w:szCs w:val="28"/>
          <w:lang w:eastAsia="en-US"/>
        </w:rPr>
        <w:t xml:space="preserve"> décembre 2020</w:t>
      </w:r>
    </w:p>
    <w:p w:rsidR="00BA1F41" w:rsidRPr="00744DC0" w:rsidRDefault="00BA1F41" w:rsidP="00BA1F41">
      <w:pPr>
        <w:numPr>
          <w:ilvl w:val="0"/>
          <w:numId w:val="1"/>
        </w:numPr>
        <w:tabs>
          <w:tab w:val="clear" w:pos="720"/>
        </w:tabs>
        <w:spacing w:before="240" w:after="240"/>
        <w:ind w:left="630" w:hanging="630"/>
        <w:jc w:val="both"/>
        <w:rPr>
          <w:sz w:val="24"/>
          <w:szCs w:val="24"/>
        </w:rPr>
      </w:pPr>
      <w:r w:rsidRPr="00C164EF">
        <w:rPr>
          <w:sz w:val="24"/>
          <w:szCs w:val="24"/>
        </w:rPr>
        <w:t>Les Républiques de la Gambie, de la Guinée Bissau et du Mali (ci-après dénommé le « Client »</w:t>
      </w:r>
      <w:r>
        <w:rPr>
          <w:sz w:val="24"/>
          <w:szCs w:val="24"/>
        </w:rPr>
        <w:t xml:space="preserve"> </w:t>
      </w:r>
      <w:r w:rsidRPr="00C164EF">
        <w:rPr>
          <w:sz w:val="24"/>
          <w:szCs w:val="24"/>
        </w:rPr>
        <w:t>ont reçu respectivement des prêts et/ou don</w:t>
      </w:r>
      <w:r>
        <w:rPr>
          <w:sz w:val="24"/>
          <w:szCs w:val="24"/>
        </w:rPr>
        <w:t>s</w:t>
      </w:r>
      <w:r w:rsidRPr="00C164EF">
        <w:rPr>
          <w:sz w:val="24"/>
          <w:szCs w:val="24"/>
        </w:rPr>
        <w:t xml:space="preserve"> de l’Association Internationale de Développement (ID</w:t>
      </w:r>
      <w:r w:rsidRPr="00B872CD">
        <w:rPr>
          <w:sz w:val="24"/>
          <w:szCs w:val="24"/>
        </w:rPr>
        <w:t>A</w:t>
      </w:r>
      <w:r w:rsidRPr="00C164EF">
        <w:rPr>
          <w:sz w:val="24"/>
          <w:szCs w:val="24"/>
        </w:rPr>
        <w:t>) (la « Banque ») en vue de financer le coût du PROJET RÉGIONAL D’ACCÈS À L’ÉLECTRICITÉ DE LA CEDEAO (ECOWAS-REAP)</w:t>
      </w:r>
      <w:r w:rsidRPr="00E82C56">
        <w:rPr>
          <w:sz w:val="24"/>
          <w:szCs w:val="24"/>
        </w:rPr>
        <w:t xml:space="preserve">  </w:t>
      </w:r>
      <w:r w:rsidRPr="001459D3">
        <w:rPr>
          <w:sz w:val="24"/>
          <w:szCs w:val="24"/>
        </w:rPr>
        <w:t xml:space="preserve">et </w:t>
      </w:r>
      <w:r>
        <w:rPr>
          <w:sz w:val="24"/>
          <w:szCs w:val="24"/>
        </w:rPr>
        <w:t>ont</w:t>
      </w:r>
      <w:r w:rsidRPr="001459D3">
        <w:rPr>
          <w:sz w:val="24"/>
          <w:szCs w:val="24"/>
        </w:rPr>
        <w:t xml:space="preserve"> l’intention d’utiliser une partie de ce</w:t>
      </w:r>
      <w:r>
        <w:rPr>
          <w:sz w:val="24"/>
          <w:szCs w:val="24"/>
        </w:rPr>
        <w:t>s</w:t>
      </w:r>
      <w:r w:rsidRPr="001459D3">
        <w:rPr>
          <w:sz w:val="24"/>
          <w:szCs w:val="24"/>
        </w:rPr>
        <w:t xml:space="preserve"> </w:t>
      </w:r>
      <w:r w:rsidRPr="00C164EF">
        <w:rPr>
          <w:iCs/>
          <w:sz w:val="24"/>
          <w:szCs w:val="24"/>
        </w:rPr>
        <w:t>fonds</w:t>
      </w:r>
      <w:r w:rsidRPr="001459D3">
        <w:rPr>
          <w:sz w:val="24"/>
          <w:szCs w:val="24"/>
        </w:rPr>
        <w:t xml:space="preserve"> pour effectuer des paiements au titre d</w:t>
      </w:r>
      <w:r>
        <w:rPr>
          <w:sz w:val="24"/>
          <w:szCs w:val="24"/>
        </w:rPr>
        <w:t>es</w:t>
      </w:r>
      <w:r w:rsidRPr="001459D3">
        <w:rPr>
          <w:sz w:val="24"/>
          <w:szCs w:val="24"/>
        </w:rPr>
        <w:t xml:space="preserve"> Marché</w:t>
      </w:r>
      <w:r>
        <w:rPr>
          <w:sz w:val="24"/>
          <w:szCs w:val="24"/>
        </w:rPr>
        <w:t xml:space="preserve">s de </w:t>
      </w:r>
      <w:r>
        <w:rPr>
          <w:sz w:val="28"/>
          <w:lang w:eastAsia="en-US"/>
        </w:rPr>
        <w:t>Conception, Fourniture et M</w:t>
      </w:r>
      <w:r w:rsidRPr="00092195">
        <w:rPr>
          <w:sz w:val="28"/>
          <w:lang w:eastAsia="en-US"/>
        </w:rPr>
        <w:t>ontage d’installations pour l’Electrification de villages en Gambie, en G</w:t>
      </w:r>
      <w:r>
        <w:rPr>
          <w:sz w:val="28"/>
          <w:lang w:eastAsia="en-US"/>
        </w:rPr>
        <w:t>ui</w:t>
      </w:r>
      <w:r w:rsidRPr="00092195">
        <w:rPr>
          <w:sz w:val="28"/>
          <w:lang w:eastAsia="en-US"/>
        </w:rPr>
        <w:t>née B</w:t>
      </w:r>
      <w:r w:rsidRPr="008531AD">
        <w:rPr>
          <w:sz w:val="28"/>
          <w:lang w:eastAsia="en-US"/>
        </w:rPr>
        <w:t>i</w:t>
      </w:r>
      <w:r w:rsidRPr="00092195">
        <w:rPr>
          <w:sz w:val="28"/>
          <w:lang w:eastAsia="en-US"/>
        </w:rPr>
        <w:t>ssau et au Mali</w:t>
      </w:r>
      <w:r w:rsidRPr="001459D3">
        <w:rPr>
          <w:i/>
          <w:iCs/>
          <w:sz w:val="24"/>
          <w:szCs w:val="24"/>
        </w:rPr>
        <w:t>.</w:t>
      </w:r>
      <w:r>
        <w:rPr>
          <w:i/>
          <w:iCs/>
          <w:sz w:val="24"/>
          <w:szCs w:val="24"/>
        </w:rPr>
        <w:t xml:space="preserve"> </w:t>
      </w:r>
      <w:r w:rsidRPr="00744DC0">
        <w:rPr>
          <w:iCs/>
          <w:spacing w:val="-3"/>
          <w:sz w:val="24"/>
          <w:szCs w:val="24"/>
        </w:rPr>
        <w:t>Pour ce</w:t>
      </w:r>
      <w:r w:rsidRPr="00C164EF">
        <w:rPr>
          <w:iCs/>
          <w:spacing w:val="-3"/>
          <w:sz w:val="24"/>
          <w:szCs w:val="24"/>
        </w:rPr>
        <w:t>s</w:t>
      </w:r>
      <w:r w:rsidRPr="00744DC0">
        <w:rPr>
          <w:iCs/>
          <w:spacing w:val="-3"/>
          <w:sz w:val="24"/>
          <w:szCs w:val="24"/>
        </w:rPr>
        <w:t xml:space="preserve"> Marché</w:t>
      </w:r>
      <w:r w:rsidRPr="00C164EF">
        <w:rPr>
          <w:iCs/>
          <w:spacing w:val="-3"/>
          <w:sz w:val="24"/>
          <w:szCs w:val="24"/>
        </w:rPr>
        <w:t>s</w:t>
      </w:r>
      <w:r w:rsidRPr="00744DC0">
        <w:rPr>
          <w:iCs/>
          <w:spacing w:val="-3"/>
          <w:sz w:val="24"/>
          <w:szCs w:val="24"/>
        </w:rPr>
        <w:t xml:space="preserve">, l’Emprunteur effectuera </w:t>
      </w:r>
      <w:r w:rsidRPr="00C164EF">
        <w:rPr>
          <w:iCs/>
          <w:spacing w:val="-3"/>
          <w:sz w:val="24"/>
          <w:szCs w:val="24"/>
        </w:rPr>
        <w:t>d</w:t>
      </w:r>
      <w:r w:rsidRPr="00744DC0">
        <w:rPr>
          <w:iCs/>
          <w:spacing w:val="-3"/>
          <w:sz w:val="24"/>
          <w:szCs w:val="24"/>
        </w:rPr>
        <w:t>es paiements en recourant à la méthode de décaissement par Paiement Direct, comme définie dans les Directives de la Banque Mondiale applicables aux Décaissements dans le cadre de Financements de Projets d’Investissement</w:t>
      </w:r>
      <w:r w:rsidRPr="00111A35">
        <w:rPr>
          <w:iCs/>
          <w:spacing w:val="-3"/>
          <w:sz w:val="24"/>
          <w:szCs w:val="24"/>
        </w:rPr>
        <w:t>, à l’exception des paiements pour lesquels le marché stipule que le paiement sera effectué par crédit documentaire</w:t>
      </w:r>
      <w:r w:rsidRPr="00C164EF">
        <w:rPr>
          <w:iCs/>
          <w:spacing w:val="-3"/>
          <w:sz w:val="24"/>
          <w:szCs w:val="24"/>
        </w:rPr>
        <w:t>.</w:t>
      </w:r>
    </w:p>
    <w:p w:rsidR="00BA1F41" w:rsidRDefault="00BA1F41" w:rsidP="00BA1F41">
      <w:pPr>
        <w:numPr>
          <w:ilvl w:val="0"/>
          <w:numId w:val="1"/>
        </w:numPr>
        <w:tabs>
          <w:tab w:val="clear" w:pos="720"/>
        </w:tabs>
        <w:spacing w:before="240" w:after="240"/>
        <w:ind w:left="630" w:hanging="630"/>
        <w:jc w:val="both"/>
        <w:rPr>
          <w:sz w:val="24"/>
          <w:szCs w:val="24"/>
        </w:rPr>
      </w:pPr>
      <w:r w:rsidRPr="001B7C37">
        <w:rPr>
          <w:sz w:val="24"/>
          <w:szCs w:val="24"/>
        </w:rPr>
        <w:lastRenderedPageBreak/>
        <w:t xml:space="preserve">Le </w:t>
      </w:r>
      <w:r w:rsidRPr="001B7C37">
        <w:rPr>
          <w:iCs/>
          <w:sz w:val="24"/>
          <w:szCs w:val="24"/>
        </w:rPr>
        <w:t>Client</w:t>
      </w:r>
      <w:r w:rsidRPr="001459D3">
        <w:rPr>
          <w:sz w:val="24"/>
          <w:szCs w:val="24"/>
        </w:rPr>
        <w:t xml:space="preserve"> sollicite des offres fermées de la part de soumissionnaires éligibles et répondant aux qualifications requises pour </w:t>
      </w:r>
      <w:r>
        <w:rPr>
          <w:sz w:val="24"/>
          <w:szCs w:val="24"/>
        </w:rPr>
        <w:t>exécuter</w:t>
      </w:r>
      <w:r w:rsidRPr="001459D3">
        <w:rPr>
          <w:sz w:val="24"/>
          <w:szCs w:val="24"/>
        </w:rPr>
        <w:t xml:space="preserve"> </w:t>
      </w:r>
      <w:r w:rsidRPr="00FD29A0">
        <w:rPr>
          <w:sz w:val="24"/>
          <w:szCs w:val="24"/>
        </w:rPr>
        <w:t xml:space="preserve">les travaux de construction de réseaux de distribution d’électricité en Gambie, en Guinée Bissau et au Mali répartis en trois lots et comprenant, </w:t>
      </w:r>
      <w:r w:rsidRPr="00FD29A0">
        <w:rPr>
          <w:b/>
          <w:sz w:val="24"/>
          <w:szCs w:val="24"/>
        </w:rPr>
        <w:t>à titre indicatif</w:t>
      </w:r>
      <w:r w:rsidRPr="00FD29A0">
        <w:rPr>
          <w:sz w:val="24"/>
          <w:szCs w:val="24"/>
        </w:rPr>
        <w:t>, les quantités de travaux projetées ci-après</w:t>
      </w:r>
      <w:r>
        <w:rPr>
          <w:sz w:val="24"/>
          <w:szCs w:val="24"/>
        </w:rPr>
        <w:t xml:space="preserve"> </w:t>
      </w:r>
      <w:r w:rsidRPr="00FD29A0">
        <w:rPr>
          <w:sz w:val="24"/>
          <w:szCs w:val="24"/>
        </w:rPr>
        <w:t>:</w:t>
      </w:r>
      <w:r w:rsidRPr="001459D3">
        <w:rPr>
          <w:sz w:val="24"/>
          <w:szCs w:val="24"/>
        </w:rPr>
        <w:t xml:space="preserve"> </w:t>
      </w:r>
    </w:p>
    <w:p w:rsidR="00BA1F41" w:rsidRDefault="00BA1F41" w:rsidP="00BA1F41">
      <w:pPr>
        <w:ind w:left="630"/>
        <w:jc w:val="both"/>
        <w:rPr>
          <w:b/>
          <w:iCs/>
          <w:sz w:val="24"/>
          <w:lang w:val="fr-CI"/>
        </w:rPr>
      </w:pPr>
      <w:r w:rsidRPr="00B34EC7">
        <w:rPr>
          <w:b/>
          <w:iCs/>
          <w:sz w:val="24"/>
          <w:lang w:val="fr-CI"/>
        </w:rPr>
        <w:t>Les prestations objet du présent appel d’offres se composent de trois (3) lots distincts répartis comme suit :</w:t>
      </w:r>
    </w:p>
    <w:p w:rsidR="00BA1F41" w:rsidRPr="00B34EC7" w:rsidRDefault="00BA1F41" w:rsidP="00BA1F41">
      <w:pPr>
        <w:ind w:left="630"/>
        <w:jc w:val="both"/>
        <w:rPr>
          <w:sz w:val="24"/>
          <w:lang w:val="fr-CI"/>
        </w:rPr>
      </w:pPr>
    </w:p>
    <w:p w:rsidR="00BA1F41" w:rsidRPr="00C164EF" w:rsidRDefault="00BA1F41" w:rsidP="00BA1F41">
      <w:pPr>
        <w:pStyle w:val="Paragraphedeliste"/>
        <w:numPr>
          <w:ilvl w:val="0"/>
          <w:numId w:val="5"/>
        </w:numPr>
        <w:ind w:left="990"/>
        <w:jc w:val="both"/>
        <w:rPr>
          <w:b/>
          <w:sz w:val="26"/>
          <w:szCs w:val="26"/>
        </w:rPr>
      </w:pPr>
      <w:r w:rsidRPr="00C164EF">
        <w:rPr>
          <w:b/>
          <w:iCs/>
          <w:sz w:val="24"/>
          <w:szCs w:val="24"/>
          <w:u w:val="single"/>
        </w:rPr>
        <w:t xml:space="preserve">Lot </w:t>
      </w:r>
      <w:r w:rsidRPr="00C164EF">
        <w:rPr>
          <w:b/>
          <w:iCs/>
          <w:sz w:val="24"/>
          <w:szCs w:val="24"/>
        </w:rPr>
        <w:t>1 : Conception</w:t>
      </w:r>
      <w:r w:rsidRPr="00C164EF">
        <w:rPr>
          <w:b/>
          <w:sz w:val="26"/>
          <w:szCs w:val="26"/>
        </w:rPr>
        <w:t>, Fourniture et Installation pour l’Electrification de villages en</w:t>
      </w:r>
      <w:r>
        <w:rPr>
          <w:b/>
          <w:sz w:val="26"/>
          <w:szCs w:val="26"/>
        </w:rPr>
        <w:t xml:space="preserve"> </w:t>
      </w:r>
      <w:r w:rsidRPr="00EE7367">
        <w:rPr>
          <w:b/>
          <w:sz w:val="26"/>
          <w:szCs w:val="26"/>
        </w:rPr>
        <w:t>Gambie</w:t>
      </w:r>
    </w:p>
    <w:p w:rsidR="00BA1F41" w:rsidRPr="00EE7367" w:rsidRDefault="00BA1F41" w:rsidP="00BA1F41">
      <w:pPr>
        <w:ind w:left="987"/>
        <w:jc w:val="both"/>
        <w:rPr>
          <w:b/>
          <w:sz w:val="8"/>
          <w:szCs w:val="26"/>
        </w:rPr>
      </w:pPr>
    </w:p>
    <w:p w:rsidR="00BA1F41" w:rsidRDefault="00BA1F41" w:rsidP="00BA1F41">
      <w:pPr>
        <w:numPr>
          <w:ilvl w:val="0"/>
          <w:numId w:val="3"/>
        </w:numPr>
        <w:ind w:left="1056" w:hanging="284"/>
        <w:contextualSpacing/>
        <w:jc w:val="both"/>
        <w:rPr>
          <w:sz w:val="24"/>
          <w:szCs w:val="24"/>
          <w:bdr w:val="nil"/>
          <w:lang w:eastAsia="zh-CN"/>
        </w:rPr>
      </w:pPr>
      <w:proofErr w:type="gramStart"/>
      <w:r>
        <w:rPr>
          <w:sz w:val="24"/>
          <w:szCs w:val="24"/>
          <w:bdr w:val="nil"/>
          <w:lang w:eastAsia="zh-CN"/>
        </w:rPr>
        <w:t>la</w:t>
      </w:r>
      <w:proofErr w:type="gramEnd"/>
      <w:r>
        <w:rPr>
          <w:sz w:val="24"/>
          <w:szCs w:val="24"/>
          <w:bdr w:val="nil"/>
          <w:lang w:eastAsia="zh-CN"/>
        </w:rPr>
        <w:t xml:space="preserve"> </w:t>
      </w:r>
      <w:r w:rsidRPr="00E85DAB">
        <w:rPr>
          <w:sz w:val="24"/>
          <w:szCs w:val="24"/>
          <w:bdr w:val="nil"/>
          <w:lang w:eastAsia="zh-CN"/>
        </w:rPr>
        <w:t>conception</w:t>
      </w:r>
      <w:r>
        <w:rPr>
          <w:sz w:val="24"/>
          <w:szCs w:val="24"/>
          <w:bdr w:val="nil"/>
          <w:lang w:eastAsia="zh-CN"/>
        </w:rPr>
        <w:t xml:space="preserve"> (</w:t>
      </w:r>
      <w:r w:rsidRPr="00E85DAB">
        <w:rPr>
          <w:sz w:val="24"/>
          <w:szCs w:val="24"/>
          <w:bdr w:val="nil"/>
          <w:lang w:eastAsia="zh-CN"/>
        </w:rPr>
        <w:t>mise à jour des études des réseaux MT et BT</w:t>
      </w:r>
      <w:r>
        <w:rPr>
          <w:sz w:val="24"/>
          <w:szCs w:val="24"/>
          <w:bdr w:val="nil"/>
          <w:lang w:eastAsia="zh-CN"/>
        </w:rPr>
        <w:t>) et, à titre indicatif, la fourniture et l’installation de ce qui suit qui est basé sur ces études ;</w:t>
      </w:r>
    </w:p>
    <w:p w:rsidR="00BA1F41" w:rsidRPr="00DF38AF" w:rsidRDefault="00BA1F41" w:rsidP="00BA1F41">
      <w:pPr>
        <w:numPr>
          <w:ilvl w:val="0"/>
          <w:numId w:val="3"/>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fourniture et l’installation</w:t>
      </w:r>
      <w:r w:rsidRPr="00DF38AF">
        <w:rPr>
          <w:sz w:val="24"/>
          <w:szCs w:val="24"/>
          <w:bdr w:val="nil"/>
          <w:lang w:eastAsia="zh-CN"/>
        </w:rPr>
        <w:t xml:space="preserve"> de </w:t>
      </w:r>
      <w:r>
        <w:rPr>
          <w:sz w:val="24"/>
          <w:szCs w:val="24"/>
          <w:bdr w:val="nil"/>
          <w:lang w:eastAsia="zh-CN"/>
        </w:rPr>
        <w:t>496</w:t>
      </w:r>
      <w:r w:rsidRPr="00DF38AF">
        <w:rPr>
          <w:sz w:val="24"/>
          <w:szCs w:val="24"/>
          <w:bdr w:val="nil"/>
          <w:lang w:eastAsia="zh-CN"/>
        </w:rPr>
        <w:t xml:space="preserve"> km de lignes moyenne tension</w:t>
      </w:r>
      <w:r>
        <w:rPr>
          <w:sz w:val="24"/>
          <w:szCs w:val="24"/>
          <w:bdr w:val="nil"/>
          <w:lang w:eastAsia="zh-CN"/>
        </w:rPr>
        <w:t xml:space="preserve"> triphasé</w:t>
      </w:r>
      <w:r w:rsidRPr="00DF38AF">
        <w:rPr>
          <w:sz w:val="24"/>
          <w:szCs w:val="24"/>
          <w:bdr w:val="nil"/>
          <w:lang w:eastAsia="zh-CN"/>
        </w:rPr>
        <w:t xml:space="preserve"> (MT) de 33</w:t>
      </w:r>
      <w:r>
        <w:rPr>
          <w:sz w:val="24"/>
          <w:szCs w:val="24"/>
          <w:bdr w:val="nil"/>
          <w:lang w:eastAsia="zh-CN"/>
        </w:rPr>
        <w:t>/30</w:t>
      </w:r>
      <w:r w:rsidRPr="00DF38AF">
        <w:rPr>
          <w:sz w:val="24"/>
          <w:szCs w:val="24"/>
          <w:bdr w:val="nil"/>
          <w:lang w:eastAsia="zh-CN"/>
        </w:rPr>
        <w:t xml:space="preserve"> kV,</w:t>
      </w:r>
    </w:p>
    <w:p w:rsidR="00BA1F41" w:rsidRPr="00DF38AF" w:rsidRDefault="00BA1F41" w:rsidP="00BA1F41">
      <w:pPr>
        <w:numPr>
          <w:ilvl w:val="0"/>
          <w:numId w:val="3"/>
        </w:numPr>
        <w:ind w:left="1056" w:hanging="284"/>
        <w:contextualSpacing/>
        <w:jc w:val="both"/>
        <w:rPr>
          <w:sz w:val="24"/>
          <w:szCs w:val="24"/>
          <w:bdr w:val="nil"/>
          <w:lang w:eastAsia="zh-CN"/>
        </w:rPr>
      </w:pPr>
      <w:proofErr w:type="gramStart"/>
      <w:r>
        <w:rPr>
          <w:sz w:val="24"/>
          <w:szCs w:val="24"/>
          <w:bdr w:val="nil"/>
          <w:lang w:eastAsia="zh-CN"/>
        </w:rPr>
        <w:t>la</w:t>
      </w:r>
      <w:proofErr w:type="gramEnd"/>
      <w:r>
        <w:rPr>
          <w:sz w:val="24"/>
          <w:szCs w:val="24"/>
          <w:bdr w:val="nil"/>
          <w:lang w:eastAsia="zh-CN"/>
        </w:rPr>
        <w:t xml:space="preserve"> fourniture et l’installation</w:t>
      </w:r>
      <w:r w:rsidRPr="00DF38AF">
        <w:rPr>
          <w:sz w:val="24"/>
          <w:szCs w:val="24"/>
          <w:bdr w:val="nil"/>
          <w:lang w:eastAsia="zh-CN"/>
        </w:rPr>
        <w:t xml:space="preserve"> </w:t>
      </w:r>
      <w:r>
        <w:rPr>
          <w:sz w:val="24"/>
          <w:szCs w:val="24"/>
          <w:bdr w:val="nil"/>
          <w:lang w:eastAsia="zh-CN"/>
        </w:rPr>
        <w:t>de 316</w:t>
      </w:r>
      <w:r w:rsidRPr="00DF38AF">
        <w:rPr>
          <w:sz w:val="24"/>
          <w:szCs w:val="24"/>
          <w:bdr w:val="nil"/>
          <w:lang w:eastAsia="zh-CN"/>
        </w:rPr>
        <w:t xml:space="preserve"> </w:t>
      </w:r>
      <w:r>
        <w:rPr>
          <w:sz w:val="24"/>
          <w:szCs w:val="24"/>
          <w:bdr w:val="nil"/>
          <w:lang w:eastAsia="zh-CN"/>
        </w:rPr>
        <w:t>postes</w:t>
      </w:r>
      <w:r w:rsidRPr="00DF38AF">
        <w:rPr>
          <w:sz w:val="24"/>
          <w:szCs w:val="24"/>
          <w:bdr w:val="nil"/>
          <w:lang w:eastAsia="zh-CN"/>
        </w:rPr>
        <w:t xml:space="preserve"> de distribution </w:t>
      </w:r>
      <w:r>
        <w:rPr>
          <w:sz w:val="24"/>
          <w:szCs w:val="24"/>
          <w:bdr w:val="nil"/>
          <w:lang w:eastAsia="zh-CN"/>
        </w:rPr>
        <w:t xml:space="preserve">triphasé </w:t>
      </w:r>
      <w:r w:rsidRPr="00DF38AF">
        <w:rPr>
          <w:sz w:val="24"/>
          <w:szCs w:val="24"/>
          <w:bdr w:val="nil"/>
          <w:lang w:eastAsia="zh-CN"/>
        </w:rPr>
        <w:t>33</w:t>
      </w:r>
      <w:r>
        <w:rPr>
          <w:sz w:val="24"/>
          <w:szCs w:val="24"/>
          <w:bdr w:val="nil"/>
          <w:lang w:eastAsia="zh-CN"/>
        </w:rPr>
        <w:t>/30 kV / 415</w:t>
      </w:r>
      <w:r w:rsidRPr="00DF38AF">
        <w:rPr>
          <w:sz w:val="24"/>
          <w:szCs w:val="24"/>
          <w:bdr w:val="nil"/>
          <w:lang w:eastAsia="zh-CN"/>
        </w:rPr>
        <w:t xml:space="preserve"> V,</w:t>
      </w:r>
    </w:p>
    <w:p w:rsidR="00BA1F41" w:rsidRPr="00DF38AF" w:rsidRDefault="00BA1F41" w:rsidP="00BA1F41">
      <w:pPr>
        <w:numPr>
          <w:ilvl w:val="0"/>
          <w:numId w:val="3"/>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fourniture et l’installation</w:t>
      </w:r>
      <w:r w:rsidRPr="00DF38AF">
        <w:rPr>
          <w:sz w:val="24"/>
          <w:szCs w:val="24"/>
          <w:bdr w:val="nil"/>
          <w:lang w:eastAsia="zh-CN"/>
        </w:rPr>
        <w:t xml:space="preserve"> de 1200 km de </w:t>
      </w:r>
      <w:r>
        <w:rPr>
          <w:sz w:val="24"/>
          <w:szCs w:val="24"/>
          <w:bdr w:val="nil"/>
          <w:lang w:eastAsia="zh-CN"/>
        </w:rPr>
        <w:t>lignes basse tension (BT) de 415</w:t>
      </w:r>
      <w:r w:rsidRPr="00DF38AF">
        <w:rPr>
          <w:sz w:val="24"/>
          <w:szCs w:val="24"/>
          <w:bdr w:val="nil"/>
          <w:lang w:eastAsia="zh-CN"/>
        </w:rPr>
        <w:t xml:space="preserve"> V,</w:t>
      </w:r>
    </w:p>
    <w:p w:rsidR="00BA1F41" w:rsidRPr="00D66330" w:rsidRDefault="00BA1F41" w:rsidP="00BA1F41">
      <w:pPr>
        <w:numPr>
          <w:ilvl w:val="0"/>
          <w:numId w:val="3"/>
        </w:numPr>
        <w:ind w:left="1056" w:hanging="284"/>
        <w:contextualSpacing/>
        <w:jc w:val="both"/>
        <w:rPr>
          <w:sz w:val="24"/>
          <w:szCs w:val="24"/>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fourniture et l'installation d'équipements terminaux de raccordement, notamment de points de raccordement, de compteurs intelligents pour gros clients, de compteurs à prépaiements, ainsi que de tableaux de comptage pré câblés pour une clientèle de plus de 52 000 foyers en basse tension.</w:t>
      </w:r>
    </w:p>
    <w:p w:rsidR="00BA1F41" w:rsidRPr="00D66330" w:rsidRDefault="00BA1F41" w:rsidP="00BA1F41">
      <w:pPr>
        <w:ind w:left="630"/>
        <w:jc w:val="both"/>
        <w:rPr>
          <w:sz w:val="8"/>
        </w:rPr>
      </w:pPr>
      <w:r>
        <w:rPr>
          <w:sz w:val="24"/>
        </w:rPr>
        <w:t xml:space="preserve">   </w:t>
      </w:r>
    </w:p>
    <w:p w:rsidR="00BA1F41" w:rsidRPr="00DF38AF" w:rsidRDefault="00BA1F41" w:rsidP="00BA1F41">
      <w:pPr>
        <w:ind w:left="630"/>
        <w:jc w:val="both"/>
        <w:rPr>
          <w:sz w:val="24"/>
          <w:szCs w:val="24"/>
          <w:lang w:eastAsia="en-US"/>
        </w:rPr>
      </w:pPr>
      <w:r w:rsidRPr="00DF38AF">
        <w:rPr>
          <w:sz w:val="24"/>
        </w:rPr>
        <w:t xml:space="preserve">Le délai d’exécution des travaux est </w:t>
      </w:r>
      <w:r w:rsidRPr="006B0E21">
        <w:rPr>
          <w:sz w:val="24"/>
        </w:rPr>
        <w:t xml:space="preserve">de </w:t>
      </w:r>
      <w:r>
        <w:rPr>
          <w:b/>
          <w:sz w:val="24"/>
        </w:rPr>
        <w:t>vingt-quatre</w:t>
      </w:r>
      <w:r w:rsidRPr="006B0E21">
        <w:rPr>
          <w:b/>
          <w:sz w:val="24"/>
        </w:rPr>
        <w:t xml:space="preserve"> (</w:t>
      </w:r>
      <w:r>
        <w:rPr>
          <w:b/>
          <w:sz w:val="24"/>
        </w:rPr>
        <w:t>24</w:t>
      </w:r>
      <w:r w:rsidRPr="006B0E21">
        <w:rPr>
          <w:b/>
          <w:sz w:val="24"/>
        </w:rPr>
        <w:t>) mois</w:t>
      </w:r>
      <w:r w:rsidRPr="006B0E21">
        <w:rPr>
          <w:sz w:val="24"/>
        </w:rPr>
        <w:t xml:space="preserve"> </w:t>
      </w:r>
      <w:r>
        <w:rPr>
          <w:sz w:val="24"/>
        </w:rPr>
        <w:t>à compter de la date de mise en vigueur</w:t>
      </w:r>
      <w:r w:rsidRPr="00DF38AF">
        <w:rPr>
          <w:sz w:val="24"/>
        </w:rPr>
        <w:t>.</w:t>
      </w:r>
    </w:p>
    <w:p w:rsidR="00BA1F41" w:rsidRPr="00DF38AF" w:rsidRDefault="00BA1F41" w:rsidP="00BA1F41">
      <w:pPr>
        <w:spacing w:after="200"/>
        <w:ind w:left="990"/>
        <w:jc w:val="both"/>
        <w:rPr>
          <w:b/>
          <w:iCs/>
          <w:sz w:val="4"/>
          <w:szCs w:val="24"/>
          <w:u w:val="single"/>
        </w:rPr>
      </w:pPr>
    </w:p>
    <w:p w:rsidR="00BA1F41" w:rsidRDefault="00BA1F41" w:rsidP="00BA1F41">
      <w:pPr>
        <w:pStyle w:val="Paragraphedeliste"/>
        <w:numPr>
          <w:ilvl w:val="0"/>
          <w:numId w:val="5"/>
        </w:numPr>
        <w:ind w:left="990"/>
        <w:jc w:val="both"/>
        <w:rPr>
          <w:b/>
          <w:sz w:val="26"/>
          <w:szCs w:val="26"/>
        </w:rPr>
      </w:pPr>
      <w:r w:rsidRPr="002F159C">
        <w:rPr>
          <w:b/>
          <w:iCs/>
          <w:sz w:val="24"/>
          <w:szCs w:val="24"/>
          <w:u w:val="single"/>
        </w:rPr>
        <w:t>Lot 2 </w:t>
      </w:r>
      <w:r w:rsidRPr="004A7947">
        <w:rPr>
          <w:b/>
          <w:iCs/>
          <w:sz w:val="24"/>
          <w:szCs w:val="24"/>
        </w:rPr>
        <w:t xml:space="preserve">: </w:t>
      </w:r>
      <w:r>
        <w:rPr>
          <w:b/>
          <w:iCs/>
          <w:sz w:val="24"/>
          <w:szCs w:val="24"/>
        </w:rPr>
        <w:t>Conception</w:t>
      </w:r>
      <w:r w:rsidRPr="00EE7367">
        <w:rPr>
          <w:b/>
          <w:sz w:val="26"/>
          <w:szCs w:val="26"/>
        </w:rPr>
        <w:t>, Fourniture et Installation pour l’Electrification de villages</w:t>
      </w:r>
      <w:r>
        <w:rPr>
          <w:b/>
          <w:sz w:val="26"/>
          <w:szCs w:val="26"/>
        </w:rPr>
        <w:t xml:space="preserve"> </w:t>
      </w:r>
      <w:r w:rsidRPr="00EE7367">
        <w:rPr>
          <w:b/>
          <w:sz w:val="26"/>
          <w:szCs w:val="26"/>
        </w:rPr>
        <w:t>en G</w:t>
      </w:r>
      <w:r>
        <w:rPr>
          <w:b/>
          <w:sz w:val="26"/>
          <w:szCs w:val="26"/>
        </w:rPr>
        <w:t>uinée Bissau. Ce lot comprend une distribution en triphasé et en monophasé avec neutre à la terre et distribué dit système "MALT".</w:t>
      </w:r>
    </w:p>
    <w:p w:rsidR="00BA1F41" w:rsidRPr="005022C1" w:rsidRDefault="00BA1F41" w:rsidP="00BA1F41">
      <w:pPr>
        <w:ind w:left="987"/>
        <w:jc w:val="both"/>
        <w:rPr>
          <w:b/>
          <w:sz w:val="8"/>
          <w:szCs w:val="26"/>
        </w:rPr>
      </w:pPr>
    </w:p>
    <w:p w:rsidR="00BA1F41" w:rsidRPr="009A77A2" w:rsidRDefault="00BA1F41" w:rsidP="00BA1F41">
      <w:pPr>
        <w:numPr>
          <w:ilvl w:val="0"/>
          <w:numId w:val="4"/>
        </w:numPr>
        <w:ind w:left="1056" w:hanging="284"/>
        <w:contextualSpacing/>
        <w:jc w:val="both"/>
        <w:rPr>
          <w:sz w:val="24"/>
          <w:szCs w:val="24"/>
          <w:bdr w:val="nil"/>
          <w:lang w:eastAsia="zh-CN"/>
        </w:rPr>
      </w:pPr>
      <w:proofErr w:type="gramStart"/>
      <w:r w:rsidRPr="004E73A4">
        <w:rPr>
          <w:sz w:val="24"/>
          <w:szCs w:val="24"/>
          <w:bdr w:val="nil"/>
          <w:lang w:val="fr-CI" w:eastAsia="zh-CN"/>
        </w:rPr>
        <w:t>l</w:t>
      </w:r>
      <w:r w:rsidRPr="00467556">
        <w:rPr>
          <w:sz w:val="24"/>
          <w:szCs w:val="24"/>
          <w:bdr w:val="nil"/>
          <w:lang w:eastAsia="zh-CN"/>
        </w:rPr>
        <w:t>a</w:t>
      </w:r>
      <w:proofErr w:type="gramEnd"/>
      <w:r w:rsidRPr="00467556">
        <w:rPr>
          <w:sz w:val="24"/>
          <w:szCs w:val="24"/>
          <w:bdr w:val="nil"/>
          <w:lang w:eastAsia="zh-CN"/>
        </w:rPr>
        <w:t xml:space="preserve"> conception (mise à jour des études des réseaux MT et BT et pour la distribution  en triphasé et la distribution MALT) et, à titre indicatif, la fourniture </w:t>
      </w:r>
      <w:r w:rsidRPr="00C94F53">
        <w:rPr>
          <w:sz w:val="24"/>
          <w:szCs w:val="24"/>
          <w:bdr w:val="nil"/>
          <w:lang w:eastAsia="zh-CN"/>
        </w:rPr>
        <w:t>et l’installation de ce qui suit qui est basé sur ces études ;</w:t>
      </w:r>
    </w:p>
    <w:p w:rsidR="00BA1F41" w:rsidRDefault="00BA1F41" w:rsidP="00BA1F41">
      <w:pPr>
        <w:numPr>
          <w:ilvl w:val="0"/>
          <w:numId w:val="4"/>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fourniture et l’installation</w:t>
      </w:r>
      <w:r w:rsidRPr="00DF38AF" w:rsidDel="00B13CBB">
        <w:rPr>
          <w:sz w:val="24"/>
          <w:szCs w:val="24"/>
          <w:bdr w:val="nil"/>
          <w:lang w:eastAsia="zh-CN"/>
        </w:rPr>
        <w:t xml:space="preserve"> </w:t>
      </w:r>
      <w:r w:rsidRPr="00DF38AF">
        <w:rPr>
          <w:sz w:val="24"/>
          <w:szCs w:val="24"/>
          <w:bdr w:val="nil"/>
          <w:lang w:eastAsia="zh-CN"/>
        </w:rPr>
        <w:t xml:space="preserve">de </w:t>
      </w:r>
      <w:r>
        <w:rPr>
          <w:sz w:val="24"/>
          <w:szCs w:val="24"/>
          <w:bdr w:val="nil"/>
          <w:lang w:eastAsia="zh-CN"/>
        </w:rPr>
        <w:t xml:space="preserve">1716 </w:t>
      </w:r>
      <w:r w:rsidRPr="00DF38AF">
        <w:rPr>
          <w:sz w:val="24"/>
          <w:szCs w:val="24"/>
          <w:bdr w:val="nil"/>
          <w:lang w:eastAsia="zh-CN"/>
        </w:rPr>
        <w:t xml:space="preserve">km de lignes moyenne tension (MT) </w:t>
      </w:r>
      <w:r>
        <w:rPr>
          <w:sz w:val="24"/>
          <w:szCs w:val="24"/>
          <w:bdr w:val="nil"/>
          <w:lang w:eastAsia="zh-CN"/>
        </w:rPr>
        <w:t xml:space="preserve">triphasé </w:t>
      </w:r>
      <w:r w:rsidRPr="00DF38AF">
        <w:rPr>
          <w:sz w:val="24"/>
          <w:szCs w:val="24"/>
          <w:bdr w:val="nil"/>
          <w:lang w:eastAsia="zh-CN"/>
        </w:rPr>
        <w:t>de 3</w:t>
      </w:r>
      <w:r>
        <w:rPr>
          <w:sz w:val="24"/>
          <w:szCs w:val="24"/>
          <w:bdr w:val="nil"/>
          <w:lang w:eastAsia="zh-CN"/>
        </w:rPr>
        <w:t>0</w:t>
      </w:r>
      <w:r w:rsidRPr="00DF38AF">
        <w:rPr>
          <w:sz w:val="24"/>
          <w:szCs w:val="24"/>
          <w:bdr w:val="nil"/>
          <w:lang w:eastAsia="zh-CN"/>
        </w:rPr>
        <w:t xml:space="preserve"> kV</w:t>
      </w:r>
      <w:r>
        <w:rPr>
          <w:sz w:val="24"/>
          <w:szCs w:val="24"/>
          <w:bdr w:val="nil"/>
          <w:lang w:eastAsia="zh-CN"/>
        </w:rPr>
        <w:t>, certaines avec neutre distribué et d’autres sans neutre distribué</w:t>
      </w:r>
      <w:r w:rsidRPr="00DF38AF">
        <w:rPr>
          <w:sz w:val="24"/>
          <w:szCs w:val="24"/>
          <w:bdr w:val="nil"/>
          <w:lang w:eastAsia="zh-CN"/>
        </w:rPr>
        <w:t>,</w:t>
      </w:r>
    </w:p>
    <w:p w:rsidR="00BA1F41" w:rsidRPr="0051111C" w:rsidRDefault="00BA1F41" w:rsidP="00BA1F41">
      <w:pPr>
        <w:numPr>
          <w:ilvl w:val="0"/>
          <w:numId w:val="4"/>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fourniture et l’installation</w:t>
      </w:r>
      <w:r w:rsidRPr="00DF38AF" w:rsidDel="00B13CBB">
        <w:rPr>
          <w:sz w:val="24"/>
          <w:szCs w:val="24"/>
          <w:bdr w:val="nil"/>
          <w:lang w:eastAsia="zh-CN"/>
        </w:rPr>
        <w:t xml:space="preserve"> </w:t>
      </w:r>
      <w:r w:rsidRPr="00DF38AF">
        <w:rPr>
          <w:sz w:val="24"/>
          <w:szCs w:val="24"/>
          <w:bdr w:val="nil"/>
          <w:lang w:eastAsia="zh-CN"/>
        </w:rPr>
        <w:t xml:space="preserve">de </w:t>
      </w:r>
      <w:r>
        <w:rPr>
          <w:sz w:val="24"/>
          <w:szCs w:val="24"/>
          <w:bdr w:val="nil"/>
          <w:lang w:eastAsia="zh-CN"/>
        </w:rPr>
        <w:t>74</w:t>
      </w:r>
      <w:r w:rsidRPr="00DF38AF">
        <w:rPr>
          <w:sz w:val="24"/>
          <w:szCs w:val="24"/>
          <w:bdr w:val="nil"/>
          <w:lang w:eastAsia="zh-CN"/>
        </w:rPr>
        <w:t xml:space="preserve"> km de </w:t>
      </w:r>
      <w:r>
        <w:rPr>
          <w:sz w:val="24"/>
          <w:szCs w:val="24"/>
          <w:bdr w:val="nil"/>
          <w:lang w:eastAsia="zh-CN"/>
        </w:rPr>
        <w:t>lignes moyenne tension (MT) monophasé de 17.32</w:t>
      </w:r>
      <w:r w:rsidRPr="00DF38AF">
        <w:rPr>
          <w:sz w:val="24"/>
          <w:szCs w:val="24"/>
          <w:bdr w:val="nil"/>
          <w:lang w:eastAsia="zh-CN"/>
        </w:rPr>
        <w:t xml:space="preserve"> kV</w:t>
      </w:r>
      <w:r>
        <w:rPr>
          <w:sz w:val="24"/>
          <w:szCs w:val="24"/>
          <w:bdr w:val="nil"/>
          <w:lang w:eastAsia="zh-CN"/>
        </w:rPr>
        <w:t xml:space="preserve"> avec un neutre distribué</w:t>
      </w:r>
      <w:r w:rsidRPr="00DF38AF">
        <w:rPr>
          <w:sz w:val="24"/>
          <w:szCs w:val="24"/>
          <w:bdr w:val="nil"/>
          <w:lang w:eastAsia="zh-CN"/>
        </w:rPr>
        <w:t>,</w:t>
      </w:r>
    </w:p>
    <w:p w:rsidR="00BA1F41" w:rsidRDefault="00BA1F41" w:rsidP="00BA1F41">
      <w:pPr>
        <w:numPr>
          <w:ilvl w:val="0"/>
          <w:numId w:val="4"/>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fourniture et l’installation</w:t>
      </w:r>
      <w:r w:rsidRPr="00DF38AF" w:rsidDel="00B13CBB">
        <w:rPr>
          <w:sz w:val="24"/>
          <w:szCs w:val="24"/>
          <w:bdr w:val="nil"/>
          <w:lang w:eastAsia="zh-CN"/>
        </w:rPr>
        <w:t xml:space="preserve"> </w:t>
      </w:r>
      <w:r w:rsidRPr="00DF38AF">
        <w:rPr>
          <w:sz w:val="24"/>
          <w:szCs w:val="24"/>
          <w:bdr w:val="nil"/>
          <w:lang w:eastAsia="zh-CN"/>
        </w:rPr>
        <w:t xml:space="preserve">de </w:t>
      </w:r>
      <w:r>
        <w:rPr>
          <w:sz w:val="24"/>
          <w:szCs w:val="24"/>
          <w:bdr w:val="nil"/>
          <w:lang w:eastAsia="zh-CN"/>
        </w:rPr>
        <w:t>149</w:t>
      </w:r>
      <w:r w:rsidRPr="00DF38AF">
        <w:rPr>
          <w:sz w:val="24"/>
          <w:szCs w:val="24"/>
          <w:bdr w:val="nil"/>
          <w:lang w:eastAsia="zh-CN"/>
        </w:rPr>
        <w:t xml:space="preserve"> </w:t>
      </w:r>
      <w:r>
        <w:rPr>
          <w:sz w:val="24"/>
          <w:szCs w:val="24"/>
          <w:bdr w:val="nil"/>
          <w:lang w:eastAsia="zh-CN"/>
        </w:rPr>
        <w:t>postes de distribution triphasé 30</w:t>
      </w:r>
      <w:r w:rsidRPr="00DF38AF">
        <w:rPr>
          <w:sz w:val="24"/>
          <w:szCs w:val="24"/>
          <w:bdr w:val="nil"/>
          <w:lang w:eastAsia="zh-CN"/>
        </w:rPr>
        <w:t xml:space="preserve"> kV / 400 V,</w:t>
      </w:r>
    </w:p>
    <w:p w:rsidR="00BA1F41" w:rsidRPr="0051111C" w:rsidRDefault="00BA1F41" w:rsidP="00BA1F41">
      <w:pPr>
        <w:numPr>
          <w:ilvl w:val="0"/>
          <w:numId w:val="4"/>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fourniture et l’installation</w:t>
      </w:r>
      <w:r w:rsidRPr="00DF38AF" w:rsidDel="00B13CBB">
        <w:rPr>
          <w:sz w:val="24"/>
          <w:szCs w:val="24"/>
          <w:bdr w:val="nil"/>
          <w:lang w:eastAsia="zh-CN"/>
        </w:rPr>
        <w:t xml:space="preserve"> </w:t>
      </w:r>
      <w:r w:rsidRPr="00DF38AF">
        <w:rPr>
          <w:sz w:val="24"/>
          <w:szCs w:val="24"/>
          <w:bdr w:val="nil"/>
          <w:lang w:eastAsia="zh-CN"/>
        </w:rPr>
        <w:t xml:space="preserve">de </w:t>
      </w:r>
      <w:r>
        <w:rPr>
          <w:sz w:val="24"/>
          <w:szCs w:val="24"/>
          <w:bdr w:val="nil"/>
          <w:lang w:eastAsia="zh-CN"/>
        </w:rPr>
        <w:t>77</w:t>
      </w:r>
      <w:r w:rsidRPr="00DF38AF">
        <w:rPr>
          <w:sz w:val="24"/>
          <w:szCs w:val="24"/>
          <w:bdr w:val="nil"/>
          <w:lang w:eastAsia="zh-CN"/>
        </w:rPr>
        <w:t xml:space="preserve"> </w:t>
      </w:r>
      <w:r>
        <w:rPr>
          <w:sz w:val="24"/>
          <w:szCs w:val="24"/>
          <w:bdr w:val="nil"/>
          <w:lang w:eastAsia="zh-CN"/>
        </w:rPr>
        <w:t>postes de distribution monophasé MALT 17,32 kV / 230</w:t>
      </w:r>
      <w:r w:rsidRPr="00DF38AF">
        <w:rPr>
          <w:sz w:val="24"/>
          <w:szCs w:val="24"/>
          <w:bdr w:val="nil"/>
          <w:lang w:eastAsia="zh-CN"/>
        </w:rPr>
        <w:t xml:space="preserve"> V,</w:t>
      </w:r>
    </w:p>
    <w:p w:rsidR="00BA1F41" w:rsidRPr="00DF38AF" w:rsidRDefault="00BA1F41" w:rsidP="00BA1F41">
      <w:pPr>
        <w:numPr>
          <w:ilvl w:val="0"/>
          <w:numId w:val="4"/>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fourniture et l’installation</w:t>
      </w:r>
      <w:r w:rsidRPr="00DF38AF" w:rsidDel="00B13CBB">
        <w:rPr>
          <w:sz w:val="24"/>
          <w:szCs w:val="24"/>
          <w:bdr w:val="nil"/>
          <w:lang w:eastAsia="zh-CN"/>
        </w:rPr>
        <w:t xml:space="preserve"> </w:t>
      </w:r>
      <w:r>
        <w:rPr>
          <w:sz w:val="24"/>
          <w:szCs w:val="24"/>
          <w:bdr w:val="nil"/>
          <w:lang w:eastAsia="zh-CN"/>
        </w:rPr>
        <w:t xml:space="preserve">d’un total </w:t>
      </w:r>
      <w:r w:rsidRPr="00DF38AF">
        <w:rPr>
          <w:sz w:val="24"/>
          <w:szCs w:val="24"/>
          <w:bdr w:val="nil"/>
          <w:lang w:eastAsia="zh-CN"/>
        </w:rPr>
        <w:t xml:space="preserve">de </w:t>
      </w:r>
      <w:r>
        <w:rPr>
          <w:sz w:val="24"/>
          <w:szCs w:val="24"/>
          <w:bdr w:val="nil"/>
          <w:lang w:eastAsia="zh-CN"/>
        </w:rPr>
        <w:t xml:space="preserve">931 </w:t>
      </w:r>
      <w:r w:rsidRPr="00DF38AF">
        <w:rPr>
          <w:sz w:val="24"/>
          <w:szCs w:val="24"/>
          <w:bdr w:val="nil"/>
          <w:lang w:eastAsia="zh-CN"/>
        </w:rPr>
        <w:t>km de lignes basse tension (BT) de 400</w:t>
      </w:r>
      <w:r>
        <w:rPr>
          <w:sz w:val="24"/>
          <w:szCs w:val="24"/>
          <w:bdr w:val="nil"/>
          <w:lang w:eastAsia="zh-CN"/>
        </w:rPr>
        <w:t>-230</w:t>
      </w:r>
      <w:r w:rsidRPr="00DF38AF">
        <w:rPr>
          <w:sz w:val="24"/>
          <w:szCs w:val="24"/>
          <w:bdr w:val="nil"/>
          <w:lang w:eastAsia="zh-CN"/>
        </w:rPr>
        <w:t xml:space="preserve"> V,</w:t>
      </w:r>
      <w:r>
        <w:rPr>
          <w:sz w:val="24"/>
          <w:szCs w:val="24"/>
          <w:bdr w:val="nil"/>
          <w:lang w:eastAsia="zh-CN"/>
        </w:rPr>
        <w:t xml:space="preserve"> en monophasé avec neutre ou en triphasé avec neutre,</w:t>
      </w:r>
    </w:p>
    <w:p w:rsidR="00BA1F41" w:rsidRPr="00DF38AF" w:rsidRDefault="00BA1F41" w:rsidP="00BA1F41">
      <w:pPr>
        <w:numPr>
          <w:ilvl w:val="0"/>
          <w:numId w:val="4"/>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fourniture et l'installation d'équipements terminaux de raccordement, notamment de points de raccordement, de compteurs intelligents pour gros clients, de compteurs à prépaiements, ainsi que de tableaux pré câblés pour une clientèle de plus de 35 000 foyers basse tension.</w:t>
      </w:r>
    </w:p>
    <w:p w:rsidR="00BA1F41" w:rsidRPr="00D66330" w:rsidRDefault="00BA1F41" w:rsidP="00BA1F41">
      <w:pPr>
        <w:ind w:left="630"/>
        <w:jc w:val="both"/>
        <w:rPr>
          <w:sz w:val="8"/>
        </w:rPr>
      </w:pPr>
      <w:r>
        <w:rPr>
          <w:sz w:val="24"/>
        </w:rPr>
        <w:t xml:space="preserve">  </w:t>
      </w:r>
    </w:p>
    <w:p w:rsidR="00BA1F41" w:rsidRPr="00DF38AF" w:rsidRDefault="00BA1F41" w:rsidP="00BA1F41">
      <w:pPr>
        <w:ind w:left="630"/>
        <w:jc w:val="both"/>
        <w:rPr>
          <w:sz w:val="24"/>
          <w:szCs w:val="24"/>
          <w:lang w:eastAsia="en-US"/>
        </w:rPr>
      </w:pPr>
      <w:r w:rsidRPr="00DF38AF">
        <w:rPr>
          <w:sz w:val="24"/>
        </w:rPr>
        <w:t xml:space="preserve">Le délai d’exécution des travaux est </w:t>
      </w:r>
      <w:r w:rsidRPr="006B0E21">
        <w:rPr>
          <w:sz w:val="24"/>
        </w:rPr>
        <w:t xml:space="preserve">de </w:t>
      </w:r>
      <w:r>
        <w:rPr>
          <w:b/>
          <w:sz w:val="24"/>
        </w:rPr>
        <w:t xml:space="preserve">vingt-quatre </w:t>
      </w:r>
      <w:r w:rsidRPr="006B0E21">
        <w:rPr>
          <w:b/>
          <w:sz w:val="24"/>
        </w:rPr>
        <w:t>(</w:t>
      </w:r>
      <w:r>
        <w:rPr>
          <w:b/>
          <w:sz w:val="24"/>
        </w:rPr>
        <w:t>24</w:t>
      </w:r>
      <w:r w:rsidRPr="006B0E21">
        <w:rPr>
          <w:b/>
          <w:sz w:val="24"/>
        </w:rPr>
        <w:t>) mois</w:t>
      </w:r>
      <w:r w:rsidRPr="006B0E21">
        <w:rPr>
          <w:sz w:val="24"/>
        </w:rPr>
        <w:t xml:space="preserve"> </w:t>
      </w:r>
      <w:r>
        <w:rPr>
          <w:sz w:val="24"/>
        </w:rPr>
        <w:t>à compter de la date de mise en vigueur</w:t>
      </w:r>
      <w:r w:rsidRPr="00DF38AF">
        <w:rPr>
          <w:sz w:val="24"/>
        </w:rPr>
        <w:t>.</w:t>
      </w:r>
    </w:p>
    <w:p w:rsidR="00BA1F41" w:rsidRPr="00D56B11" w:rsidRDefault="00BA1F41" w:rsidP="00BA1F41">
      <w:pPr>
        <w:spacing w:after="200"/>
        <w:ind w:left="990"/>
        <w:jc w:val="both"/>
        <w:rPr>
          <w:b/>
          <w:iCs/>
          <w:sz w:val="4"/>
          <w:szCs w:val="24"/>
          <w:u w:val="single"/>
        </w:rPr>
      </w:pPr>
    </w:p>
    <w:p w:rsidR="00BA1F41" w:rsidRDefault="00BA1F41" w:rsidP="00BA1F41">
      <w:pPr>
        <w:pStyle w:val="Paragraphedeliste"/>
        <w:numPr>
          <w:ilvl w:val="0"/>
          <w:numId w:val="5"/>
        </w:numPr>
        <w:ind w:left="990"/>
        <w:jc w:val="both"/>
        <w:rPr>
          <w:b/>
          <w:sz w:val="26"/>
          <w:szCs w:val="26"/>
        </w:rPr>
      </w:pPr>
      <w:r w:rsidRPr="002F159C">
        <w:rPr>
          <w:b/>
          <w:iCs/>
          <w:sz w:val="24"/>
          <w:szCs w:val="24"/>
          <w:u w:val="single"/>
        </w:rPr>
        <w:lastRenderedPageBreak/>
        <w:t xml:space="preserve">LOT </w:t>
      </w:r>
      <w:r w:rsidRPr="004A7947">
        <w:rPr>
          <w:b/>
          <w:iCs/>
          <w:sz w:val="24"/>
          <w:szCs w:val="24"/>
        </w:rPr>
        <w:t xml:space="preserve">3 : </w:t>
      </w:r>
      <w:r>
        <w:rPr>
          <w:b/>
          <w:iCs/>
          <w:sz w:val="24"/>
          <w:szCs w:val="24"/>
        </w:rPr>
        <w:t>Conception</w:t>
      </w:r>
      <w:r w:rsidRPr="00EE7367">
        <w:rPr>
          <w:b/>
          <w:sz w:val="26"/>
          <w:szCs w:val="26"/>
        </w:rPr>
        <w:t>, Fourniture et Installation pour l’Electrification de villages</w:t>
      </w:r>
      <w:r>
        <w:rPr>
          <w:b/>
          <w:sz w:val="26"/>
          <w:szCs w:val="26"/>
        </w:rPr>
        <w:t xml:space="preserve"> </w:t>
      </w:r>
      <w:r>
        <w:rPr>
          <w:b/>
          <w:iCs/>
          <w:sz w:val="24"/>
          <w:szCs w:val="24"/>
        </w:rPr>
        <w:t>au Mali. Ce lot comprend une distribution en triphasé et en système MALT</w:t>
      </w:r>
    </w:p>
    <w:p w:rsidR="00BA1F41" w:rsidRPr="00EE7367" w:rsidRDefault="00BA1F41" w:rsidP="00BA1F41">
      <w:pPr>
        <w:ind w:left="987"/>
        <w:jc w:val="both"/>
        <w:rPr>
          <w:b/>
          <w:sz w:val="8"/>
          <w:szCs w:val="26"/>
          <w:lang w:val="fr-CI"/>
        </w:rPr>
      </w:pPr>
    </w:p>
    <w:p w:rsidR="00BA1F41" w:rsidRDefault="00BA1F41" w:rsidP="00BA1F41">
      <w:pPr>
        <w:numPr>
          <w:ilvl w:val="0"/>
          <w:numId w:val="4"/>
        </w:numPr>
        <w:ind w:left="1056" w:hanging="284"/>
        <w:contextualSpacing/>
        <w:jc w:val="both"/>
        <w:rPr>
          <w:sz w:val="24"/>
          <w:szCs w:val="24"/>
          <w:bdr w:val="nil"/>
          <w:lang w:eastAsia="zh-CN"/>
        </w:rPr>
      </w:pPr>
      <w:proofErr w:type="gramStart"/>
      <w:r>
        <w:rPr>
          <w:sz w:val="24"/>
          <w:szCs w:val="24"/>
          <w:bdr w:val="nil"/>
          <w:lang w:val="fr-CI" w:eastAsia="zh-CN"/>
        </w:rPr>
        <w:t>l</w:t>
      </w:r>
      <w:r>
        <w:rPr>
          <w:sz w:val="24"/>
          <w:szCs w:val="24"/>
          <w:bdr w:val="nil"/>
          <w:lang w:eastAsia="zh-CN"/>
        </w:rPr>
        <w:t>a</w:t>
      </w:r>
      <w:proofErr w:type="gramEnd"/>
      <w:r>
        <w:rPr>
          <w:sz w:val="24"/>
          <w:szCs w:val="24"/>
          <w:bdr w:val="nil"/>
          <w:lang w:eastAsia="zh-CN"/>
        </w:rPr>
        <w:t xml:space="preserve"> </w:t>
      </w:r>
      <w:r w:rsidRPr="00E85DAB">
        <w:rPr>
          <w:sz w:val="24"/>
          <w:szCs w:val="24"/>
          <w:bdr w:val="nil"/>
          <w:lang w:eastAsia="zh-CN"/>
        </w:rPr>
        <w:t>conception</w:t>
      </w:r>
      <w:r>
        <w:rPr>
          <w:sz w:val="24"/>
          <w:szCs w:val="24"/>
          <w:bdr w:val="nil"/>
          <w:lang w:eastAsia="zh-CN"/>
        </w:rPr>
        <w:t xml:space="preserve"> (</w:t>
      </w:r>
      <w:r w:rsidRPr="00E85DAB">
        <w:rPr>
          <w:sz w:val="24"/>
          <w:szCs w:val="24"/>
          <w:bdr w:val="nil"/>
          <w:lang w:eastAsia="zh-CN"/>
        </w:rPr>
        <w:t>mise à jour des études des réseaux MT et BT</w:t>
      </w:r>
      <w:r>
        <w:rPr>
          <w:sz w:val="24"/>
          <w:szCs w:val="24"/>
          <w:bdr w:val="nil"/>
          <w:lang w:eastAsia="zh-CN"/>
        </w:rPr>
        <w:t xml:space="preserve"> pour la distribution  en triphasé et la distribution MALT) et, à titre indicatif, la fourniture et l’installation de ce qui suit qui est basé sur ces études ;</w:t>
      </w:r>
    </w:p>
    <w:p w:rsidR="00BA1F41" w:rsidRDefault="00BA1F41" w:rsidP="00BA1F41">
      <w:pPr>
        <w:numPr>
          <w:ilvl w:val="0"/>
          <w:numId w:val="4"/>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 xml:space="preserve">fourniture et l’installation </w:t>
      </w:r>
      <w:r w:rsidRPr="00DF38AF">
        <w:rPr>
          <w:sz w:val="24"/>
          <w:szCs w:val="24"/>
          <w:bdr w:val="nil"/>
          <w:lang w:eastAsia="zh-CN"/>
        </w:rPr>
        <w:t xml:space="preserve">de </w:t>
      </w:r>
      <w:r>
        <w:rPr>
          <w:sz w:val="24"/>
          <w:szCs w:val="24"/>
          <w:bdr w:val="nil"/>
          <w:lang w:eastAsia="zh-CN"/>
        </w:rPr>
        <w:t xml:space="preserve">2583 </w:t>
      </w:r>
      <w:r w:rsidRPr="00DF38AF">
        <w:rPr>
          <w:sz w:val="24"/>
          <w:szCs w:val="24"/>
          <w:bdr w:val="nil"/>
          <w:lang w:eastAsia="zh-CN"/>
        </w:rPr>
        <w:t xml:space="preserve">km de lignes moyenne </w:t>
      </w:r>
      <w:r>
        <w:rPr>
          <w:sz w:val="24"/>
          <w:szCs w:val="24"/>
          <w:bdr w:val="nil"/>
          <w:lang w:eastAsia="zh-CN"/>
        </w:rPr>
        <w:t>tension (MT) triphasé de 30</w:t>
      </w:r>
      <w:r w:rsidRPr="00DF38AF">
        <w:rPr>
          <w:sz w:val="24"/>
          <w:szCs w:val="24"/>
          <w:bdr w:val="nil"/>
          <w:lang w:eastAsia="zh-CN"/>
        </w:rPr>
        <w:t xml:space="preserve"> kV,</w:t>
      </w:r>
      <w:r w:rsidRPr="00AF17BB">
        <w:rPr>
          <w:sz w:val="24"/>
          <w:szCs w:val="24"/>
          <w:bdr w:val="nil"/>
          <w:lang w:eastAsia="zh-CN"/>
        </w:rPr>
        <w:t xml:space="preserve"> </w:t>
      </w:r>
      <w:r>
        <w:rPr>
          <w:sz w:val="24"/>
          <w:szCs w:val="24"/>
          <w:bdr w:val="nil"/>
          <w:lang w:eastAsia="zh-CN"/>
        </w:rPr>
        <w:t>certaines avec neutre distribué et d’autres sans neutre distribué,</w:t>
      </w:r>
    </w:p>
    <w:p w:rsidR="00BA1F41" w:rsidRPr="00676069" w:rsidRDefault="00BA1F41" w:rsidP="00BA1F41">
      <w:pPr>
        <w:numPr>
          <w:ilvl w:val="0"/>
          <w:numId w:val="4"/>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 xml:space="preserve">fourniture et l’installation </w:t>
      </w:r>
      <w:r w:rsidRPr="00DF38AF">
        <w:rPr>
          <w:sz w:val="24"/>
          <w:szCs w:val="24"/>
          <w:bdr w:val="nil"/>
          <w:lang w:eastAsia="zh-CN"/>
        </w:rPr>
        <w:t xml:space="preserve">de </w:t>
      </w:r>
      <w:r>
        <w:rPr>
          <w:sz w:val="24"/>
          <w:szCs w:val="24"/>
          <w:bdr w:val="nil"/>
          <w:lang w:eastAsia="zh-CN"/>
        </w:rPr>
        <w:t>92</w:t>
      </w:r>
      <w:r w:rsidRPr="00DF38AF">
        <w:rPr>
          <w:sz w:val="24"/>
          <w:szCs w:val="24"/>
          <w:bdr w:val="nil"/>
          <w:lang w:eastAsia="zh-CN"/>
        </w:rPr>
        <w:t xml:space="preserve"> km de lignes moyenne </w:t>
      </w:r>
      <w:r>
        <w:rPr>
          <w:sz w:val="24"/>
          <w:szCs w:val="24"/>
          <w:bdr w:val="nil"/>
          <w:lang w:eastAsia="zh-CN"/>
        </w:rPr>
        <w:t>tension (MT) monophasé de 17.32</w:t>
      </w:r>
      <w:r w:rsidRPr="00DF38AF">
        <w:rPr>
          <w:sz w:val="24"/>
          <w:szCs w:val="24"/>
          <w:bdr w:val="nil"/>
          <w:lang w:eastAsia="zh-CN"/>
        </w:rPr>
        <w:t xml:space="preserve"> kV</w:t>
      </w:r>
      <w:r>
        <w:rPr>
          <w:sz w:val="24"/>
          <w:szCs w:val="24"/>
          <w:bdr w:val="nil"/>
          <w:lang w:eastAsia="zh-CN"/>
        </w:rPr>
        <w:t xml:space="preserve"> avec un neutre distribué</w:t>
      </w:r>
      <w:r w:rsidRPr="00DF38AF">
        <w:rPr>
          <w:sz w:val="24"/>
          <w:szCs w:val="24"/>
          <w:bdr w:val="nil"/>
          <w:lang w:eastAsia="zh-CN"/>
        </w:rPr>
        <w:t>,</w:t>
      </w:r>
    </w:p>
    <w:p w:rsidR="00BA1F41" w:rsidRDefault="00BA1F41" w:rsidP="00BA1F41">
      <w:pPr>
        <w:numPr>
          <w:ilvl w:val="0"/>
          <w:numId w:val="4"/>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 xml:space="preserve">fourniture et l’installation </w:t>
      </w:r>
      <w:r w:rsidRPr="00DF38AF">
        <w:rPr>
          <w:sz w:val="24"/>
          <w:szCs w:val="24"/>
          <w:bdr w:val="nil"/>
          <w:lang w:eastAsia="zh-CN"/>
        </w:rPr>
        <w:t xml:space="preserve">de </w:t>
      </w:r>
      <w:r>
        <w:rPr>
          <w:sz w:val="24"/>
          <w:szCs w:val="24"/>
          <w:bdr w:val="nil"/>
          <w:lang w:eastAsia="zh-CN"/>
        </w:rPr>
        <w:t>484 postes de distribution triphasé 30</w:t>
      </w:r>
      <w:r w:rsidRPr="00DF38AF">
        <w:rPr>
          <w:sz w:val="24"/>
          <w:szCs w:val="24"/>
          <w:bdr w:val="nil"/>
          <w:lang w:eastAsia="zh-CN"/>
        </w:rPr>
        <w:t xml:space="preserve"> kV / 400 V,</w:t>
      </w:r>
    </w:p>
    <w:p w:rsidR="00BA1F41" w:rsidRPr="00676069" w:rsidRDefault="00BA1F41" w:rsidP="00BA1F41">
      <w:pPr>
        <w:numPr>
          <w:ilvl w:val="0"/>
          <w:numId w:val="4"/>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 xml:space="preserve">fourniture et l’installation </w:t>
      </w:r>
      <w:r w:rsidRPr="00DF38AF">
        <w:rPr>
          <w:sz w:val="24"/>
          <w:szCs w:val="24"/>
          <w:bdr w:val="nil"/>
          <w:lang w:eastAsia="zh-CN"/>
        </w:rPr>
        <w:t xml:space="preserve">de </w:t>
      </w:r>
      <w:r>
        <w:rPr>
          <w:sz w:val="24"/>
          <w:szCs w:val="24"/>
          <w:bdr w:val="nil"/>
          <w:lang w:eastAsia="zh-CN"/>
        </w:rPr>
        <w:t>176</w:t>
      </w:r>
      <w:r w:rsidRPr="00DF38AF">
        <w:rPr>
          <w:sz w:val="24"/>
          <w:szCs w:val="24"/>
          <w:bdr w:val="nil"/>
          <w:lang w:eastAsia="zh-CN"/>
        </w:rPr>
        <w:t xml:space="preserve"> </w:t>
      </w:r>
      <w:r>
        <w:rPr>
          <w:sz w:val="24"/>
          <w:szCs w:val="24"/>
          <w:bdr w:val="nil"/>
          <w:lang w:eastAsia="zh-CN"/>
        </w:rPr>
        <w:t>postes de distribution monophasé 17.32 kV / 230</w:t>
      </w:r>
      <w:r w:rsidRPr="00DF38AF">
        <w:rPr>
          <w:sz w:val="24"/>
          <w:szCs w:val="24"/>
          <w:bdr w:val="nil"/>
          <w:lang w:eastAsia="zh-CN"/>
        </w:rPr>
        <w:t xml:space="preserve"> V</w:t>
      </w:r>
      <w:r>
        <w:rPr>
          <w:sz w:val="24"/>
          <w:szCs w:val="24"/>
          <w:bdr w:val="nil"/>
          <w:lang w:eastAsia="zh-CN"/>
        </w:rPr>
        <w:t xml:space="preserve"> en système MALT</w:t>
      </w:r>
      <w:r w:rsidRPr="00DF38AF">
        <w:rPr>
          <w:sz w:val="24"/>
          <w:szCs w:val="24"/>
          <w:bdr w:val="nil"/>
          <w:lang w:eastAsia="zh-CN"/>
        </w:rPr>
        <w:t>,</w:t>
      </w:r>
    </w:p>
    <w:p w:rsidR="00BA1F41" w:rsidRPr="00DF38AF" w:rsidRDefault="00BA1F41" w:rsidP="00BA1F41">
      <w:pPr>
        <w:numPr>
          <w:ilvl w:val="0"/>
          <w:numId w:val="4"/>
        </w:numPr>
        <w:ind w:left="1056" w:hanging="284"/>
        <w:contextualSpacing/>
        <w:jc w:val="both"/>
        <w:rPr>
          <w:sz w:val="24"/>
          <w:szCs w:val="24"/>
          <w:bdr w:val="nil"/>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w:t>
      </w:r>
      <w:r>
        <w:rPr>
          <w:sz w:val="24"/>
          <w:szCs w:val="24"/>
          <w:bdr w:val="nil"/>
          <w:lang w:eastAsia="zh-CN"/>
        </w:rPr>
        <w:t xml:space="preserve">fourniture et l’installation </w:t>
      </w:r>
      <w:r w:rsidRPr="00DF38AF">
        <w:rPr>
          <w:sz w:val="24"/>
          <w:szCs w:val="24"/>
          <w:bdr w:val="nil"/>
          <w:lang w:eastAsia="zh-CN"/>
        </w:rPr>
        <w:t xml:space="preserve">de </w:t>
      </w:r>
      <w:r>
        <w:rPr>
          <w:sz w:val="24"/>
          <w:szCs w:val="24"/>
          <w:bdr w:val="nil"/>
          <w:lang w:eastAsia="zh-CN"/>
        </w:rPr>
        <w:t>1478</w:t>
      </w:r>
      <w:r w:rsidRPr="00DF38AF">
        <w:rPr>
          <w:sz w:val="24"/>
          <w:szCs w:val="24"/>
          <w:bdr w:val="nil"/>
          <w:lang w:eastAsia="zh-CN"/>
        </w:rPr>
        <w:t xml:space="preserve"> km de lignes basse tension (BT) </w:t>
      </w:r>
      <w:r>
        <w:rPr>
          <w:sz w:val="24"/>
          <w:szCs w:val="24"/>
          <w:bdr w:val="nil"/>
          <w:lang w:eastAsia="zh-CN"/>
        </w:rPr>
        <w:t xml:space="preserve">avec neutre distribué </w:t>
      </w:r>
      <w:r w:rsidRPr="00DF38AF">
        <w:rPr>
          <w:sz w:val="24"/>
          <w:szCs w:val="24"/>
          <w:bdr w:val="nil"/>
          <w:lang w:eastAsia="zh-CN"/>
        </w:rPr>
        <w:t>de 400</w:t>
      </w:r>
      <w:r>
        <w:rPr>
          <w:sz w:val="24"/>
          <w:szCs w:val="24"/>
          <w:bdr w:val="nil"/>
          <w:lang w:eastAsia="zh-CN"/>
        </w:rPr>
        <w:t>-230</w:t>
      </w:r>
      <w:r w:rsidRPr="00DF38AF">
        <w:rPr>
          <w:sz w:val="24"/>
          <w:szCs w:val="24"/>
          <w:bdr w:val="nil"/>
          <w:lang w:eastAsia="zh-CN"/>
        </w:rPr>
        <w:t>V</w:t>
      </w:r>
      <w:r>
        <w:rPr>
          <w:sz w:val="24"/>
          <w:szCs w:val="24"/>
          <w:bdr w:val="nil"/>
          <w:lang w:eastAsia="zh-CN"/>
        </w:rPr>
        <w:t xml:space="preserve"> (en triphasé ou en monophasé)</w:t>
      </w:r>
      <w:r w:rsidRPr="00DF38AF">
        <w:rPr>
          <w:sz w:val="24"/>
          <w:szCs w:val="24"/>
          <w:bdr w:val="nil"/>
          <w:lang w:eastAsia="zh-CN"/>
        </w:rPr>
        <w:t>,</w:t>
      </w:r>
    </w:p>
    <w:p w:rsidR="00BA1F41" w:rsidRPr="00DF38AF" w:rsidRDefault="00BA1F41" w:rsidP="00BA1F41">
      <w:pPr>
        <w:numPr>
          <w:ilvl w:val="0"/>
          <w:numId w:val="4"/>
        </w:numPr>
        <w:ind w:left="1056" w:hanging="284"/>
        <w:contextualSpacing/>
        <w:jc w:val="both"/>
        <w:rPr>
          <w:sz w:val="24"/>
          <w:szCs w:val="24"/>
          <w:lang w:eastAsia="zh-CN"/>
        </w:rPr>
      </w:pPr>
      <w:proofErr w:type="gramStart"/>
      <w:r w:rsidRPr="00DF38AF">
        <w:rPr>
          <w:sz w:val="24"/>
          <w:szCs w:val="24"/>
          <w:bdr w:val="nil"/>
          <w:lang w:eastAsia="zh-CN"/>
        </w:rPr>
        <w:t>la</w:t>
      </w:r>
      <w:proofErr w:type="gramEnd"/>
      <w:r w:rsidRPr="00DF38AF">
        <w:rPr>
          <w:sz w:val="24"/>
          <w:szCs w:val="24"/>
          <w:bdr w:val="nil"/>
          <w:lang w:eastAsia="zh-CN"/>
        </w:rPr>
        <w:t xml:space="preserve"> fourniture et l'installation d'équipements terminaux de raccordement, notamment des points de raccordement, des compteurs intelligents pour gros clients, des compteurs à prépaiements ainsi que des tableaux pré câblés pour plus de 70 000 foyers basse tension.</w:t>
      </w:r>
    </w:p>
    <w:p w:rsidR="00BA1F41" w:rsidRPr="00D66330" w:rsidRDefault="00BA1F41" w:rsidP="00BA1F41">
      <w:pPr>
        <w:ind w:left="630"/>
        <w:jc w:val="both"/>
        <w:rPr>
          <w:sz w:val="8"/>
        </w:rPr>
      </w:pPr>
      <w:r>
        <w:rPr>
          <w:sz w:val="24"/>
        </w:rPr>
        <w:t xml:space="preserve">    </w:t>
      </w:r>
    </w:p>
    <w:p w:rsidR="00BA1F41" w:rsidRDefault="00BA1F41" w:rsidP="00BA1F41">
      <w:pPr>
        <w:ind w:left="630"/>
        <w:jc w:val="both"/>
        <w:rPr>
          <w:sz w:val="24"/>
        </w:rPr>
      </w:pPr>
      <w:r w:rsidRPr="00DF38AF">
        <w:rPr>
          <w:sz w:val="24"/>
        </w:rPr>
        <w:t xml:space="preserve">Le délai d’exécution des travaux est </w:t>
      </w:r>
      <w:r w:rsidRPr="006B0E21">
        <w:rPr>
          <w:sz w:val="24"/>
        </w:rPr>
        <w:t xml:space="preserve">de </w:t>
      </w:r>
      <w:r>
        <w:rPr>
          <w:b/>
          <w:sz w:val="24"/>
        </w:rPr>
        <w:t>trente</w:t>
      </w:r>
      <w:r w:rsidRPr="006B0E21">
        <w:rPr>
          <w:b/>
          <w:sz w:val="24"/>
        </w:rPr>
        <w:t xml:space="preserve"> (</w:t>
      </w:r>
      <w:r>
        <w:rPr>
          <w:b/>
          <w:sz w:val="24"/>
        </w:rPr>
        <w:t>30</w:t>
      </w:r>
      <w:r w:rsidRPr="006B0E21">
        <w:rPr>
          <w:b/>
          <w:sz w:val="24"/>
        </w:rPr>
        <w:t>)</w:t>
      </w:r>
      <w:r>
        <w:rPr>
          <w:b/>
          <w:sz w:val="24"/>
        </w:rPr>
        <w:t xml:space="preserve"> </w:t>
      </w:r>
      <w:r w:rsidRPr="006B0E21">
        <w:rPr>
          <w:b/>
          <w:sz w:val="24"/>
        </w:rPr>
        <w:t>mois</w:t>
      </w:r>
      <w:r w:rsidRPr="006B0E21">
        <w:rPr>
          <w:sz w:val="24"/>
        </w:rPr>
        <w:t xml:space="preserve"> </w:t>
      </w:r>
      <w:r>
        <w:rPr>
          <w:sz w:val="24"/>
        </w:rPr>
        <w:t>à compter de la date de mise en vigueur</w:t>
      </w:r>
      <w:r w:rsidRPr="00DF38AF">
        <w:rPr>
          <w:sz w:val="24"/>
        </w:rPr>
        <w:t>.</w:t>
      </w:r>
    </w:p>
    <w:p w:rsidR="00BA1F41" w:rsidRDefault="00BA1F41" w:rsidP="00BA1F41">
      <w:pPr>
        <w:suppressAutoHyphens/>
        <w:ind w:left="630"/>
      </w:pPr>
    </w:p>
    <w:p w:rsidR="00BA1F41" w:rsidRPr="001459D3" w:rsidRDefault="00BA1F41" w:rsidP="00BA1F41">
      <w:pPr>
        <w:numPr>
          <w:ilvl w:val="0"/>
          <w:numId w:val="1"/>
        </w:numPr>
        <w:tabs>
          <w:tab w:val="clear" w:pos="720"/>
        </w:tabs>
        <w:spacing w:before="240" w:after="240"/>
        <w:ind w:left="630" w:hanging="630"/>
        <w:jc w:val="both"/>
        <w:rPr>
          <w:sz w:val="24"/>
          <w:szCs w:val="24"/>
        </w:rPr>
      </w:pPr>
      <w:r w:rsidRPr="00C164EF">
        <w:rPr>
          <w:sz w:val="24"/>
          <w:szCs w:val="24"/>
        </w:rPr>
        <w:t xml:space="preserve">Un Soumissionnaire peut présenter une offre pour un ou plusieurs </w:t>
      </w:r>
      <w:r>
        <w:rPr>
          <w:sz w:val="24"/>
          <w:szCs w:val="24"/>
        </w:rPr>
        <w:t>lots</w:t>
      </w:r>
      <w:r w:rsidRPr="00C164EF">
        <w:rPr>
          <w:sz w:val="24"/>
          <w:szCs w:val="24"/>
        </w:rPr>
        <w:t xml:space="preserve">, comme précisé dans le Document d’Appel d’Offres. </w:t>
      </w:r>
      <w:r>
        <w:rPr>
          <w:sz w:val="24"/>
          <w:szCs w:val="24"/>
        </w:rPr>
        <w:t>Des</w:t>
      </w:r>
      <w:r w:rsidRPr="00C164EF">
        <w:rPr>
          <w:sz w:val="24"/>
          <w:szCs w:val="24"/>
        </w:rPr>
        <w:t xml:space="preserve"> Soumissionnaire</w:t>
      </w:r>
      <w:r>
        <w:rPr>
          <w:sz w:val="24"/>
          <w:szCs w:val="24"/>
        </w:rPr>
        <w:t>s</w:t>
      </w:r>
      <w:r w:rsidRPr="00C164EF">
        <w:rPr>
          <w:sz w:val="24"/>
          <w:szCs w:val="24"/>
        </w:rPr>
        <w:t xml:space="preserve"> désirant offrir un rabais dans le cas où plusieurs marchés leur seraient attribués, seront autorisés à le faire, mais ils devront indiquer ces rabais dans le Formulaire d’Offre</w:t>
      </w:r>
      <w:r>
        <w:rPr>
          <w:sz w:val="24"/>
          <w:szCs w:val="24"/>
        </w:rPr>
        <w:t xml:space="preserve"> et bien entendu prouver leur capacités techniques et financières à réaliser simultanément ces différents lots.</w:t>
      </w:r>
    </w:p>
    <w:p w:rsidR="00BA1F41" w:rsidRPr="00B34EC7" w:rsidRDefault="00BA1F41" w:rsidP="00BA1F41">
      <w:pPr>
        <w:numPr>
          <w:ilvl w:val="0"/>
          <w:numId w:val="1"/>
        </w:numPr>
        <w:tabs>
          <w:tab w:val="clear" w:pos="720"/>
        </w:tabs>
        <w:spacing w:before="240" w:after="240"/>
        <w:ind w:left="630" w:hanging="630"/>
        <w:jc w:val="both"/>
        <w:rPr>
          <w:sz w:val="24"/>
          <w:szCs w:val="24"/>
        </w:rPr>
      </w:pPr>
      <w:r w:rsidRPr="0092223E">
        <w:rPr>
          <w:sz w:val="24"/>
          <w:szCs w:val="24"/>
        </w:rPr>
        <w:t xml:space="preserve">La procédure sera conduite par mise en concurrence internationale en recourant à un Appel d’Offres </w:t>
      </w:r>
      <w:r w:rsidRPr="00B34EC7">
        <w:rPr>
          <w:sz w:val="24"/>
          <w:szCs w:val="24"/>
        </w:rPr>
        <w:t>International</w:t>
      </w:r>
      <w:r w:rsidRPr="00942369">
        <w:rPr>
          <w:sz w:val="24"/>
          <w:szCs w:val="24"/>
        </w:rPr>
        <w:t xml:space="preserve"> (AOI) telle </w:t>
      </w:r>
      <w:r w:rsidRPr="0092223E">
        <w:rPr>
          <w:sz w:val="24"/>
          <w:szCs w:val="24"/>
        </w:rPr>
        <w:t xml:space="preserve">que définie dans le « Règlement applicable aux Emprunteurs – Passation des Marchés dans le cadre de Financement de Projets d’Investissement </w:t>
      </w:r>
      <w:r>
        <w:rPr>
          <w:sz w:val="24"/>
          <w:szCs w:val="24"/>
        </w:rPr>
        <w:t xml:space="preserve">- </w:t>
      </w:r>
      <w:r w:rsidRPr="00942369">
        <w:rPr>
          <w:sz w:val="24"/>
          <w:szCs w:val="24"/>
        </w:rPr>
        <w:t>Fournitures, Travaux, Services Autres que des Services de Consultants et Services de Consultants édition de Juillet 2016, révisée en  Novembre 2017 et Août 2018</w:t>
      </w:r>
      <w:r w:rsidRPr="00942369">
        <w:rPr>
          <w:i/>
          <w:iCs/>
          <w:sz w:val="24"/>
          <w:szCs w:val="24"/>
        </w:rPr>
        <w:t xml:space="preserve"> </w:t>
      </w:r>
      <w:r w:rsidRPr="00A71C33">
        <w:rPr>
          <w:sz w:val="24"/>
          <w:szCs w:val="24"/>
        </w:rPr>
        <w:t>de la Banque Mondiale (« le Règle</w:t>
      </w:r>
      <w:r w:rsidRPr="009D4355">
        <w:rPr>
          <w:sz w:val="24"/>
          <w:szCs w:val="24"/>
        </w:rPr>
        <w:t>ment</w:t>
      </w:r>
      <w:r w:rsidRPr="00A32F08">
        <w:rPr>
          <w:sz w:val="24"/>
          <w:szCs w:val="24"/>
        </w:rPr>
        <w:t xml:space="preserve"> </w:t>
      </w:r>
      <w:r w:rsidRPr="009B3665">
        <w:rPr>
          <w:sz w:val="24"/>
          <w:szCs w:val="24"/>
        </w:rPr>
        <w:t>de passation des marchés</w:t>
      </w:r>
      <w:r w:rsidRPr="00AE7CB2">
        <w:rPr>
          <w:sz w:val="24"/>
          <w:szCs w:val="24"/>
        </w:rPr>
        <w:t xml:space="preserve"> »), et ouverte à tous les soumissionnaires de pays éligibles tels que </w:t>
      </w:r>
      <w:r w:rsidRPr="0092223E">
        <w:rPr>
          <w:sz w:val="24"/>
          <w:szCs w:val="24"/>
        </w:rPr>
        <w:t xml:space="preserve">définis dans le Règlement </w:t>
      </w:r>
      <w:r w:rsidRPr="0092223E">
        <w:rPr>
          <w:iCs/>
          <w:sz w:val="24"/>
          <w:szCs w:val="24"/>
        </w:rPr>
        <w:t xml:space="preserve">de passation des </w:t>
      </w:r>
      <w:r w:rsidRPr="00B34EC7">
        <w:rPr>
          <w:iCs/>
          <w:sz w:val="24"/>
          <w:szCs w:val="24"/>
        </w:rPr>
        <w:t>marchés</w:t>
      </w:r>
      <w:r w:rsidRPr="00B34EC7">
        <w:rPr>
          <w:sz w:val="24"/>
          <w:szCs w:val="24"/>
        </w:rPr>
        <w:t xml:space="preserve">. </w:t>
      </w:r>
    </w:p>
    <w:p w:rsidR="00BA1F41" w:rsidRPr="00B34EC7" w:rsidRDefault="00BA1F41" w:rsidP="00BA1F41">
      <w:pPr>
        <w:numPr>
          <w:ilvl w:val="0"/>
          <w:numId w:val="1"/>
        </w:numPr>
        <w:spacing w:before="240" w:after="240"/>
        <w:jc w:val="both"/>
        <w:rPr>
          <w:sz w:val="24"/>
          <w:szCs w:val="24"/>
        </w:rPr>
      </w:pPr>
      <w:r w:rsidRPr="00B34EC7">
        <w:rPr>
          <w:sz w:val="24"/>
          <w:szCs w:val="24"/>
        </w:rPr>
        <w:t xml:space="preserve">Les Soumissionnaires peuvent obtenir des informations auprès de </w:t>
      </w:r>
      <w:r w:rsidRPr="00B34EC7">
        <w:rPr>
          <w:iCs/>
          <w:sz w:val="24"/>
          <w:szCs w:val="24"/>
        </w:rPr>
        <w:t>l’Unité Régionale de Coordination (URC)  à l’adresse ci-dessus suivante :</w:t>
      </w:r>
      <w:r w:rsidRPr="00B34EC7">
        <w:rPr>
          <w:i/>
          <w:iCs/>
          <w:sz w:val="24"/>
          <w:szCs w:val="24"/>
        </w:rPr>
        <w:t xml:space="preserve">  </w:t>
      </w:r>
      <w:hyperlink r:id="rId5" w:history="1">
        <w:r w:rsidRPr="009726B3">
          <w:rPr>
            <w:rStyle w:val="Lienhypertexte"/>
            <w:b/>
            <w:szCs w:val="24"/>
          </w:rPr>
          <w:t>ecowas-reap@ecowas.int</w:t>
        </w:r>
      </w:hyperlink>
      <w:r>
        <w:rPr>
          <w:rStyle w:val="Lienhypertexte"/>
          <w:b/>
          <w:szCs w:val="24"/>
        </w:rPr>
        <w:t xml:space="preserve">; </w:t>
      </w:r>
      <w:hyperlink r:id="rId6" w:history="1">
        <w:r w:rsidRPr="005505B6">
          <w:rPr>
            <w:rStyle w:val="Lienhypertexte"/>
            <w:b/>
            <w:szCs w:val="24"/>
          </w:rPr>
          <w:t>ecowasreap1@gmail.com</w:t>
        </w:r>
      </w:hyperlink>
      <w:r>
        <w:rPr>
          <w:rStyle w:val="Lienhypertexte"/>
          <w:b/>
          <w:szCs w:val="24"/>
        </w:rPr>
        <w:t xml:space="preserve"> </w:t>
      </w:r>
      <w:r w:rsidRPr="00B34EC7">
        <w:rPr>
          <w:rStyle w:val="Lienhypertexte"/>
          <w:b/>
          <w:szCs w:val="24"/>
        </w:rPr>
        <w:t xml:space="preserve"> </w:t>
      </w:r>
    </w:p>
    <w:p w:rsidR="00BA1F41" w:rsidRPr="00246AF1" w:rsidRDefault="00BA1F41" w:rsidP="00BA1F41">
      <w:pPr>
        <w:numPr>
          <w:ilvl w:val="0"/>
          <w:numId w:val="1"/>
        </w:numPr>
        <w:spacing w:before="240" w:after="240"/>
        <w:jc w:val="both"/>
        <w:rPr>
          <w:iCs/>
          <w:sz w:val="24"/>
          <w:szCs w:val="24"/>
        </w:rPr>
      </w:pPr>
      <w:r w:rsidRPr="00B34EC7">
        <w:rPr>
          <w:sz w:val="24"/>
          <w:szCs w:val="24"/>
        </w:rPr>
        <w:t xml:space="preserve">Le Dossier </w:t>
      </w:r>
      <w:r w:rsidRPr="00942369">
        <w:rPr>
          <w:sz w:val="24"/>
          <w:szCs w:val="24"/>
        </w:rPr>
        <w:t xml:space="preserve">d’Appel d’offres en </w:t>
      </w:r>
      <w:r w:rsidRPr="00942369">
        <w:rPr>
          <w:iCs/>
          <w:sz w:val="24"/>
          <w:szCs w:val="24"/>
        </w:rPr>
        <w:t>langues</w:t>
      </w:r>
      <w:r w:rsidRPr="00942369">
        <w:rPr>
          <w:i/>
          <w:iCs/>
          <w:sz w:val="24"/>
          <w:szCs w:val="24"/>
        </w:rPr>
        <w:t xml:space="preserve"> </w:t>
      </w:r>
      <w:r w:rsidRPr="00942369">
        <w:rPr>
          <w:iCs/>
          <w:sz w:val="24"/>
          <w:szCs w:val="24"/>
        </w:rPr>
        <w:t>Française et Anglaise</w:t>
      </w:r>
      <w:r w:rsidRPr="00942369">
        <w:rPr>
          <w:sz w:val="24"/>
          <w:szCs w:val="24"/>
        </w:rPr>
        <w:t xml:space="preserve"> </w:t>
      </w:r>
      <w:r w:rsidRPr="00942369">
        <w:rPr>
          <w:iCs/>
          <w:sz w:val="24"/>
          <w:szCs w:val="24"/>
        </w:rPr>
        <w:t xml:space="preserve">associé au présent Appel </w:t>
      </w:r>
      <w:r w:rsidRPr="00A71C33">
        <w:rPr>
          <w:iCs/>
          <w:sz w:val="24"/>
          <w:szCs w:val="24"/>
        </w:rPr>
        <w:t xml:space="preserve">d’offres est disponible </w:t>
      </w:r>
      <w:r w:rsidRPr="00246AF1">
        <w:rPr>
          <w:iCs/>
          <w:sz w:val="24"/>
          <w:szCs w:val="24"/>
        </w:rPr>
        <w:t xml:space="preserve">gratuitement au lien suivant : </w:t>
      </w:r>
      <w:hyperlink r:id="rId7" w:history="1">
        <w:r w:rsidRPr="00B34EC7">
          <w:rPr>
            <w:rStyle w:val="Lienhypertexte"/>
            <w:b/>
            <w:i/>
            <w:iCs/>
            <w:szCs w:val="24"/>
          </w:rPr>
          <w:t>https://www.dropbox.com/sh/gdn04nrmafs1ry0/AACGBuT3K_nb2o5xCPOVXQpsa?dl=0</w:t>
        </w:r>
      </w:hyperlink>
      <w:r w:rsidRPr="00246AF1">
        <w:rPr>
          <w:b/>
          <w:i/>
          <w:iCs/>
          <w:sz w:val="24"/>
          <w:szCs w:val="24"/>
        </w:rPr>
        <w:t xml:space="preserve"> </w:t>
      </w:r>
    </w:p>
    <w:p w:rsidR="00BA1F41" w:rsidRPr="00BB5C29" w:rsidRDefault="00BA1F41" w:rsidP="00BA1F41">
      <w:pPr>
        <w:numPr>
          <w:ilvl w:val="0"/>
          <w:numId w:val="1"/>
        </w:numPr>
        <w:spacing w:before="240" w:after="240"/>
        <w:jc w:val="both"/>
        <w:rPr>
          <w:iCs/>
          <w:sz w:val="24"/>
          <w:szCs w:val="24"/>
        </w:rPr>
      </w:pPr>
      <w:r w:rsidRPr="00DC27A0">
        <w:rPr>
          <w:iCs/>
          <w:sz w:val="24"/>
          <w:szCs w:val="24"/>
        </w:rPr>
        <w:t xml:space="preserve">Les Soumissionnaires </w:t>
      </w:r>
      <w:r w:rsidRPr="00DC27A0">
        <w:rPr>
          <w:sz w:val="24"/>
          <w:szCs w:val="24"/>
        </w:rPr>
        <w:t xml:space="preserve">intéressés et éligibles </w:t>
      </w:r>
      <w:r w:rsidRPr="00DC27A0">
        <w:rPr>
          <w:iCs/>
          <w:sz w:val="24"/>
          <w:szCs w:val="24"/>
        </w:rPr>
        <w:t xml:space="preserve">enverront un courrier électronique à </w:t>
      </w:r>
      <w:hyperlink r:id="rId8" w:history="1">
        <w:r w:rsidRPr="009726B3">
          <w:rPr>
            <w:rStyle w:val="Lienhypertexte"/>
            <w:b/>
            <w:szCs w:val="24"/>
          </w:rPr>
          <w:t>ecowas-reap@ecowas.int</w:t>
        </w:r>
      </w:hyperlink>
      <w:r>
        <w:rPr>
          <w:rStyle w:val="Lienhypertexte"/>
          <w:b/>
          <w:szCs w:val="24"/>
        </w:rPr>
        <w:t xml:space="preserve"> </w:t>
      </w:r>
      <w:r w:rsidRPr="00DC27A0">
        <w:rPr>
          <w:bCs/>
          <w:iCs/>
          <w:sz w:val="24"/>
          <w:szCs w:val="24"/>
        </w:rPr>
        <w:t>avec copie</w:t>
      </w:r>
      <w:r w:rsidRPr="00B34EC7">
        <w:rPr>
          <w:i/>
          <w:iCs/>
          <w:sz w:val="24"/>
          <w:szCs w:val="24"/>
        </w:rPr>
        <w:t xml:space="preserve"> </w:t>
      </w:r>
      <w:r w:rsidRPr="00AF1172">
        <w:rPr>
          <w:i/>
          <w:iCs/>
          <w:sz w:val="24"/>
          <w:szCs w:val="24"/>
        </w:rPr>
        <w:t xml:space="preserve">à </w:t>
      </w:r>
      <w:hyperlink r:id="rId9" w:history="1">
        <w:r w:rsidRPr="009D315F">
          <w:rPr>
            <w:rStyle w:val="Lienhypertexte"/>
            <w:spacing w:val="-2"/>
            <w:szCs w:val="24"/>
          </w:rPr>
          <w:t>degnymarcel@yahoo.fr</w:t>
        </w:r>
      </w:hyperlink>
      <w:r w:rsidRPr="00B34EC7">
        <w:rPr>
          <w:spacing w:val="-2"/>
          <w:sz w:val="24"/>
          <w:szCs w:val="24"/>
        </w:rPr>
        <w:t>;</w:t>
      </w:r>
      <w:r>
        <w:rPr>
          <w:spacing w:val="-2"/>
          <w:sz w:val="24"/>
          <w:szCs w:val="24"/>
        </w:rPr>
        <w:t xml:space="preserve"> </w:t>
      </w:r>
      <w:hyperlink r:id="rId10" w:history="1">
        <w:r w:rsidRPr="00B34EC7">
          <w:rPr>
            <w:rStyle w:val="Lienhypertexte"/>
            <w:szCs w:val="24"/>
          </w:rPr>
          <w:t>hnjie@nawec.gm</w:t>
        </w:r>
      </w:hyperlink>
      <w:r w:rsidRPr="00B34EC7">
        <w:rPr>
          <w:sz w:val="24"/>
          <w:szCs w:val="24"/>
        </w:rPr>
        <w:t xml:space="preserve">; </w:t>
      </w:r>
      <w:hyperlink r:id="rId11" w:history="1">
        <w:r w:rsidRPr="00B34EC7">
          <w:rPr>
            <w:rStyle w:val="Lienhypertexte"/>
            <w:szCs w:val="24"/>
          </w:rPr>
          <w:t>puasee@outlook.pt</w:t>
        </w:r>
      </w:hyperlink>
      <w:r w:rsidRPr="00B34EC7">
        <w:rPr>
          <w:sz w:val="24"/>
          <w:szCs w:val="24"/>
        </w:rPr>
        <w:t xml:space="preserve">; </w:t>
      </w:r>
      <w:hyperlink r:id="rId12" w:history="1">
        <w:r w:rsidRPr="009D315F">
          <w:rPr>
            <w:rStyle w:val="Lienhypertexte"/>
            <w:szCs w:val="24"/>
          </w:rPr>
          <w:t>oustraore@edmsa.ml</w:t>
        </w:r>
      </w:hyperlink>
      <w:r>
        <w:rPr>
          <w:sz w:val="24"/>
          <w:szCs w:val="24"/>
        </w:rPr>
        <w:t xml:space="preserve"> </w:t>
      </w:r>
      <w:r w:rsidRPr="00AF1172">
        <w:rPr>
          <w:iCs/>
          <w:sz w:val="24"/>
          <w:szCs w:val="24"/>
        </w:rPr>
        <w:t>dans</w:t>
      </w:r>
      <w:r w:rsidRPr="00DC27A0">
        <w:rPr>
          <w:iCs/>
          <w:sz w:val="24"/>
          <w:szCs w:val="24"/>
        </w:rPr>
        <w:t xml:space="preserve"> lequel ils indiqueront leurs coordonnées </w:t>
      </w:r>
      <w:r w:rsidRPr="00DC27A0">
        <w:rPr>
          <w:iCs/>
          <w:sz w:val="24"/>
          <w:szCs w:val="24"/>
        </w:rPr>
        <w:lastRenderedPageBreak/>
        <w:t>complètes. Ces coordonnées seront utilisées pour les communications ultérieures sur le dossier d’appel d’offres dont les clarifications, Addenda du dossier d’appel d’offres et les liens pour la réunion préparatoire et pour l’ouverture publique des offres par vidéoconférence</w:t>
      </w:r>
      <w:r w:rsidRPr="00C164EF">
        <w:rPr>
          <w:iCs/>
          <w:sz w:val="24"/>
          <w:szCs w:val="24"/>
        </w:rPr>
        <w:t>.</w:t>
      </w:r>
    </w:p>
    <w:p w:rsidR="00BA1F41" w:rsidRPr="00C62564" w:rsidRDefault="00BA1F41" w:rsidP="00BA1F41">
      <w:pPr>
        <w:numPr>
          <w:ilvl w:val="0"/>
          <w:numId w:val="1"/>
        </w:numPr>
        <w:tabs>
          <w:tab w:val="clear" w:pos="720"/>
        </w:tabs>
        <w:spacing w:before="240" w:after="240"/>
        <w:ind w:left="630" w:hanging="630"/>
        <w:jc w:val="both"/>
        <w:rPr>
          <w:sz w:val="24"/>
          <w:szCs w:val="24"/>
        </w:rPr>
      </w:pPr>
      <w:r w:rsidRPr="00C62564">
        <w:rPr>
          <w:sz w:val="24"/>
          <w:szCs w:val="24"/>
        </w:rPr>
        <w:t xml:space="preserve">Les offres devront être remises par voie électronique selon la procédure détaillée à l’IS 23.1 de la Section II du Dossier d’Appel d’offres au plus tard le </w:t>
      </w:r>
      <w:r w:rsidRPr="005022C1">
        <w:rPr>
          <w:b/>
          <w:sz w:val="24"/>
          <w:szCs w:val="24"/>
        </w:rPr>
        <w:t>25</w:t>
      </w:r>
      <w:r w:rsidRPr="00900301">
        <w:rPr>
          <w:b/>
          <w:sz w:val="24"/>
        </w:rPr>
        <w:t xml:space="preserve"> Janvier 2021 à </w:t>
      </w:r>
      <w:r w:rsidRPr="005022C1">
        <w:rPr>
          <w:b/>
          <w:sz w:val="24"/>
          <w:szCs w:val="24"/>
        </w:rPr>
        <w:t>14</w:t>
      </w:r>
      <w:r w:rsidRPr="00900301">
        <w:rPr>
          <w:b/>
          <w:sz w:val="24"/>
        </w:rPr>
        <w:t xml:space="preserve"> heures 00 minute GMT</w:t>
      </w:r>
      <w:r w:rsidRPr="005022C1">
        <w:rPr>
          <w:sz w:val="24"/>
          <w:szCs w:val="24"/>
        </w:rPr>
        <w:t xml:space="preserve">. Toute offre arrivée après l’expiration du délai limite de remise des offres sera écartée. Les offres seront ouvertes le </w:t>
      </w:r>
      <w:r w:rsidRPr="005022C1">
        <w:rPr>
          <w:b/>
          <w:sz w:val="24"/>
          <w:szCs w:val="24"/>
        </w:rPr>
        <w:t>25</w:t>
      </w:r>
      <w:r w:rsidRPr="00900301">
        <w:rPr>
          <w:b/>
          <w:sz w:val="24"/>
        </w:rPr>
        <w:t xml:space="preserve"> janvier 2021 à </w:t>
      </w:r>
      <w:r w:rsidRPr="005022C1">
        <w:rPr>
          <w:b/>
          <w:sz w:val="24"/>
          <w:szCs w:val="24"/>
        </w:rPr>
        <w:t>15</w:t>
      </w:r>
      <w:r w:rsidRPr="00900301">
        <w:rPr>
          <w:b/>
          <w:sz w:val="24"/>
        </w:rPr>
        <w:t xml:space="preserve"> heures 00 minute GMT</w:t>
      </w:r>
      <w:r>
        <w:rPr>
          <w:sz w:val="24"/>
          <w:szCs w:val="24"/>
        </w:rPr>
        <w:t xml:space="preserve"> </w:t>
      </w:r>
      <w:r w:rsidRPr="00C62564">
        <w:rPr>
          <w:sz w:val="24"/>
          <w:szCs w:val="24"/>
        </w:rPr>
        <w:t>en présence des représentants des soumissionnaires et des personnes présentes ayant choisi d’assister à l’ouverture. Le lien de la séance d’ouverture sera adressé par email aux soumissionnaires après soumission de leur offre.</w:t>
      </w:r>
    </w:p>
    <w:p w:rsidR="00BA1F41" w:rsidRPr="0086280F" w:rsidRDefault="00BA1F41" w:rsidP="00BA1F41">
      <w:pPr>
        <w:numPr>
          <w:ilvl w:val="0"/>
          <w:numId w:val="1"/>
        </w:numPr>
        <w:tabs>
          <w:tab w:val="clear" w:pos="720"/>
        </w:tabs>
        <w:spacing w:before="240" w:after="240"/>
        <w:ind w:left="630" w:hanging="630"/>
        <w:jc w:val="both"/>
        <w:rPr>
          <w:sz w:val="24"/>
          <w:szCs w:val="24"/>
        </w:rPr>
      </w:pPr>
      <w:r w:rsidRPr="00E8257B">
        <w:rPr>
          <w:sz w:val="24"/>
          <w:szCs w:val="24"/>
        </w:rPr>
        <w:t>La période de validité des offres est de 120 jours à partir de la date limite de leur dépôt et ces offres devront être accompagnées d’une</w:t>
      </w:r>
      <w:r w:rsidRPr="00E8257B">
        <w:rPr>
          <w:b/>
          <w:iCs/>
          <w:sz w:val="24"/>
          <w:szCs w:val="24"/>
        </w:rPr>
        <w:t xml:space="preserve"> Garantie d</w:t>
      </w:r>
      <w:r w:rsidRPr="00B34EC7">
        <w:rPr>
          <w:b/>
          <w:iCs/>
          <w:sz w:val="24"/>
          <w:szCs w:val="24"/>
        </w:rPr>
        <w:t>’</w:t>
      </w:r>
      <w:r w:rsidRPr="00E8257B">
        <w:rPr>
          <w:b/>
          <w:iCs/>
          <w:sz w:val="24"/>
          <w:szCs w:val="24"/>
        </w:rPr>
        <w:t>offre</w:t>
      </w:r>
      <w:r w:rsidRPr="00B34EC7">
        <w:rPr>
          <w:sz w:val="24"/>
          <w:szCs w:val="24"/>
        </w:rPr>
        <w:t xml:space="preserve"> qui devra demeurer valable 28 jours à compter de l’expiration de la durée de validité des offres d’un </w:t>
      </w:r>
      <w:r w:rsidRPr="00E8257B">
        <w:rPr>
          <w:sz w:val="24"/>
          <w:szCs w:val="24"/>
        </w:rPr>
        <w:t>montant</w:t>
      </w:r>
      <w:r w:rsidRPr="00B34EC7">
        <w:rPr>
          <w:sz w:val="24"/>
          <w:szCs w:val="24"/>
        </w:rPr>
        <w:t>,</w:t>
      </w:r>
      <w:r w:rsidRPr="00E8257B">
        <w:rPr>
          <w:sz w:val="24"/>
          <w:szCs w:val="24"/>
        </w:rPr>
        <w:t xml:space="preserve"> </w:t>
      </w:r>
      <w:r w:rsidRPr="00B34EC7">
        <w:rPr>
          <w:sz w:val="24"/>
          <w:szCs w:val="24"/>
        </w:rPr>
        <w:t xml:space="preserve">en Dollars US ou l’équivalent </w:t>
      </w:r>
      <w:r w:rsidRPr="0086280F">
        <w:rPr>
          <w:sz w:val="24"/>
          <w:szCs w:val="24"/>
        </w:rPr>
        <w:t>dans une monnaie librement convertible, de :</w:t>
      </w:r>
    </w:p>
    <w:p w:rsidR="00BA1F41" w:rsidRPr="00900301" w:rsidRDefault="00BA1F41" w:rsidP="00BA1F41">
      <w:pPr>
        <w:pStyle w:val="Paragraphedeliste"/>
        <w:numPr>
          <w:ilvl w:val="0"/>
          <w:numId w:val="2"/>
        </w:numPr>
        <w:suppressAutoHyphens/>
        <w:overflowPunct w:val="0"/>
        <w:autoSpaceDE w:val="0"/>
        <w:autoSpaceDN w:val="0"/>
        <w:adjustRightInd w:val="0"/>
        <w:spacing w:before="120"/>
        <w:ind w:left="2160"/>
        <w:jc w:val="both"/>
        <w:textAlignment w:val="baseline"/>
        <w:rPr>
          <w:b/>
          <w:sz w:val="24"/>
        </w:rPr>
      </w:pPr>
      <w:r w:rsidRPr="00900301">
        <w:rPr>
          <w:b/>
          <w:sz w:val="24"/>
        </w:rPr>
        <w:t>Lot 1</w:t>
      </w:r>
      <w:r>
        <w:rPr>
          <w:b/>
          <w:sz w:val="24"/>
        </w:rPr>
        <w:t xml:space="preserve"> </w:t>
      </w:r>
      <w:r w:rsidRPr="00900301">
        <w:rPr>
          <w:b/>
          <w:sz w:val="24"/>
        </w:rPr>
        <w:t xml:space="preserve">: Un Million </w:t>
      </w:r>
      <w:r w:rsidRPr="00E553D0">
        <w:rPr>
          <w:b/>
          <w:sz w:val="24"/>
        </w:rPr>
        <w:t xml:space="preserve">Trois </w:t>
      </w:r>
      <w:r w:rsidRPr="00900301">
        <w:rPr>
          <w:b/>
          <w:sz w:val="24"/>
        </w:rPr>
        <w:t>Cent Mille (1 300 000) dollars US ;</w:t>
      </w:r>
    </w:p>
    <w:p w:rsidR="00BA1F41" w:rsidRPr="00900301" w:rsidRDefault="00BA1F41" w:rsidP="00BA1F41">
      <w:pPr>
        <w:pStyle w:val="Paragraphedeliste"/>
        <w:numPr>
          <w:ilvl w:val="0"/>
          <w:numId w:val="2"/>
        </w:numPr>
        <w:suppressAutoHyphens/>
        <w:overflowPunct w:val="0"/>
        <w:autoSpaceDE w:val="0"/>
        <w:autoSpaceDN w:val="0"/>
        <w:adjustRightInd w:val="0"/>
        <w:ind w:left="2160"/>
        <w:jc w:val="both"/>
        <w:textAlignment w:val="baseline"/>
        <w:rPr>
          <w:b/>
          <w:sz w:val="24"/>
        </w:rPr>
      </w:pPr>
      <w:r w:rsidRPr="00900301">
        <w:rPr>
          <w:b/>
          <w:sz w:val="24"/>
        </w:rPr>
        <w:t xml:space="preserve">Lot 2 : </w:t>
      </w:r>
      <w:r w:rsidRPr="00E553D0">
        <w:rPr>
          <w:b/>
          <w:sz w:val="24"/>
        </w:rPr>
        <w:t>Neuf Cent Quarante</w:t>
      </w:r>
      <w:r w:rsidRPr="00900301">
        <w:rPr>
          <w:b/>
          <w:sz w:val="24"/>
        </w:rPr>
        <w:t xml:space="preserve"> Mille (940</w:t>
      </w:r>
      <w:r w:rsidRPr="00900301" w:rsidDel="001634CC">
        <w:rPr>
          <w:b/>
          <w:sz w:val="24"/>
        </w:rPr>
        <w:t xml:space="preserve"> </w:t>
      </w:r>
      <w:r w:rsidRPr="00900301">
        <w:rPr>
          <w:b/>
          <w:sz w:val="24"/>
        </w:rPr>
        <w:t>000) dollars US ;</w:t>
      </w:r>
    </w:p>
    <w:p w:rsidR="00BA1F41" w:rsidRPr="00900301" w:rsidRDefault="00BA1F41" w:rsidP="00BA1F41">
      <w:pPr>
        <w:pStyle w:val="Paragraphedeliste"/>
        <w:numPr>
          <w:ilvl w:val="0"/>
          <w:numId w:val="2"/>
        </w:numPr>
        <w:suppressAutoHyphens/>
        <w:overflowPunct w:val="0"/>
        <w:autoSpaceDE w:val="0"/>
        <w:autoSpaceDN w:val="0"/>
        <w:adjustRightInd w:val="0"/>
        <w:ind w:left="2160"/>
        <w:jc w:val="both"/>
        <w:textAlignment w:val="baseline"/>
        <w:rPr>
          <w:b/>
          <w:sz w:val="24"/>
        </w:rPr>
      </w:pPr>
      <w:r w:rsidRPr="00900301">
        <w:rPr>
          <w:b/>
          <w:sz w:val="24"/>
        </w:rPr>
        <w:t>Lot 3 : Un million Sept Cent Mille (1 700 000) dollars US.</w:t>
      </w:r>
    </w:p>
    <w:p w:rsidR="00BA1F41" w:rsidRPr="00900301" w:rsidRDefault="00BA1F41" w:rsidP="00BA1F41">
      <w:pPr>
        <w:pStyle w:val="Paragraphedeliste"/>
        <w:suppressAutoHyphens/>
        <w:overflowPunct w:val="0"/>
        <w:autoSpaceDE w:val="0"/>
        <w:autoSpaceDN w:val="0"/>
        <w:adjustRightInd w:val="0"/>
        <w:ind w:left="2160"/>
        <w:jc w:val="both"/>
        <w:textAlignment w:val="baseline"/>
        <w:rPr>
          <w:b/>
          <w:sz w:val="12"/>
          <w:highlight w:val="yellow"/>
        </w:rPr>
      </w:pPr>
    </w:p>
    <w:p w:rsidR="00BA1F41" w:rsidRPr="00C164EF" w:rsidRDefault="00BA1F41" w:rsidP="00BA1F41">
      <w:pPr>
        <w:numPr>
          <w:ilvl w:val="0"/>
          <w:numId w:val="1"/>
        </w:numPr>
        <w:suppressAutoHyphens/>
        <w:overflowPunct w:val="0"/>
        <w:autoSpaceDE w:val="0"/>
        <w:autoSpaceDN w:val="0"/>
        <w:adjustRightInd w:val="0"/>
        <w:spacing w:after="120"/>
        <w:ind w:right="-17"/>
        <w:jc w:val="both"/>
        <w:textAlignment w:val="baseline"/>
        <w:rPr>
          <w:color w:val="000000"/>
          <w:sz w:val="24"/>
          <w:szCs w:val="24"/>
        </w:rPr>
      </w:pPr>
      <w:r w:rsidRPr="00C164EF">
        <w:rPr>
          <w:color w:val="000000"/>
          <w:sz w:val="24"/>
          <w:szCs w:val="24"/>
        </w:rPr>
        <w:t xml:space="preserve">Les exigences en matière de qualification sont </w:t>
      </w:r>
      <w:r>
        <w:rPr>
          <w:color w:val="000000"/>
          <w:sz w:val="24"/>
          <w:szCs w:val="24"/>
        </w:rPr>
        <w:t>précisées à la section III du DAO.</w:t>
      </w:r>
    </w:p>
    <w:p w:rsidR="00BA1F41" w:rsidRPr="0086280F" w:rsidRDefault="00BA1F41" w:rsidP="00BA1F41">
      <w:pPr>
        <w:numPr>
          <w:ilvl w:val="0"/>
          <w:numId w:val="1"/>
        </w:numPr>
        <w:suppressAutoHyphens/>
        <w:overflowPunct w:val="0"/>
        <w:autoSpaceDE w:val="0"/>
        <w:autoSpaceDN w:val="0"/>
        <w:adjustRightInd w:val="0"/>
        <w:spacing w:after="120"/>
        <w:ind w:right="-17"/>
        <w:jc w:val="both"/>
        <w:textAlignment w:val="baseline"/>
        <w:rPr>
          <w:sz w:val="24"/>
          <w:szCs w:val="24"/>
        </w:rPr>
      </w:pPr>
      <w:r w:rsidRPr="0086280F">
        <w:rPr>
          <w:sz w:val="24"/>
          <w:szCs w:val="24"/>
        </w:rPr>
        <w:t xml:space="preserve">Veuillez noter que le Règlement de Passation des Marchés exige que l’Emprunteur divulgue les informations sur les </w:t>
      </w:r>
      <w:hyperlink r:id="rId13" w:history="1">
        <w:r w:rsidRPr="0086280F">
          <w:rPr>
            <w:sz w:val="24"/>
            <w:szCs w:val="24"/>
          </w:rPr>
          <w:t>propriétaires effectifs</w:t>
        </w:r>
      </w:hyperlink>
      <w:r w:rsidRPr="0086280F">
        <w:rPr>
          <w:sz w:val="24"/>
          <w:szCs w:val="24"/>
        </w:rPr>
        <w:t xml:space="preserve"> du Soumissionnaire attributaire, dans le cadre de l’avis de Notification d’Attribution de Marché, en renseignant le Formulaire de divulgation </w:t>
      </w:r>
      <w:hyperlink r:id="rId14" w:history="1">
        <w:r w:rsidRPr="0086280F">
          <w:rPr>
            <w:sz w:val="24"/>
            <w:szCs w:val="24"/>
          </w:rPr>
          <w:t>des bénéficiaires effectifs</w:t>
        </w:r>
      </w:hyperlink>
      <w:r w:rsidRPr="0086280F">
        <w:rPr>
          <w:sz w:val="24"/>
          <w:szCs w:val="24"/>
        </w:rPr>
        <w:t xml:space="preserve"> inclus dans le dossier d’appel d’offres</w:t>
      </w:r>
    </w:p>
    <w:p w:rsidR="00986E9B" w:rsidRDefault="00986E9B">
      <w:bookmarkStart w:id="0" w:name="_GoBack"/>
      <w:bookmarkEnd w:id="0"/>
    </w:p>
    <w:sectPr w:rsidR="00986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F5C79E0"/>
    <w:multiLevelType w:val="hybridMultilevel"/>
    <w:tmpl w:val="49824D9A"/>
    <w:lvl w:ilvl="0" w:tplc="040C0001">
      <w:start w:val="1"/>
      <w:numFmt w:val="bullet"/>
      <w:lvlText w:val=""/>
      <w:lvlJc w:val="left"/>
      <w:pPr>
        <w:ind w:left="2204" w:hanging="360"/>
      </w:pPr>
      <w:rPr>
        <w:rFonts w:ascii="Symbol" w:hAnsi="Symbol" w:hint="default"/>
      </w:rPr>
    </w:lvl>
    <w:lvl w:ilvl="1" w:tplc="040C0003">
      <w:start w:val="1"/>
      <w:numFmt w:val="bullet"/>
      <w:lvlText w:val="o"/>
      <w:lvlJc w:val="left"/>
      <w:pPr>
        <w:ind w:left="4724" w:hanging="360"/>
      </w:pPr>
      <w:rPr>
        <w:rFonts w:ascii="Courier New" w:hAnsi="Courier New" w:cs="Courier New" w:hint="default"/>
      </w:rPr>
    </w:lvl>
    <w:lvl w:ilvl="2" w:tplc="040C0005" w:tentative="1">
      <w:start w:val="1"/>
      <w:numFmt w:val="bullet"/>
      <w:lvlText w:val=""/>
      <w:lvlJc w:val="left"/>
      <w:pPr>
        <w:ind w:left="5444" w:hanging="360"/>
      </w:pPr>
      <w:rPr>
        <w:rFonts w:ascii="Wingdings" w:hAnsi="Wingdings" w:hint="default"/>
      </w:rPr>
    </w:lvl>
    <w:lvl w:ilvl="3" w:tplc="040C0001" w:tentative="1">
      <w:start w:val="1"/>
      <w:numFmt w:val="bullet"/>
      <w:lvlText w:val=""/>
      <w:lvlJc w:val="left"/>
      <w:pPr>
        <w:ind w:left="6164" w:hanging="360"/>
      </w:pPr>
      <w:rPr>
        <w:rFonts w:ascii="Symbol" w:hAnsi="Symbol" w:hint="default"/>
      </w:rPr>
    </w:lvl>
    <w:lvl w:ilvl="4" w:tplc="040C0003" w:tentative="1">
      <w:start w:val="1"/>
      <w:numFmt w:val="bullet"/>
      <w:lvlText w:val="o"/>
      <w:lvlJc w:val="left"/>
      <w:pPr>
        <w:ind w:left="6884" w:hanging="360"/>
      </w:pPr>
      <w:rPr>
        <w:rFonts w:ascii="Courier New" w:hAnsi="Courier New" w:cs="Courier New" w:hint="default"/>
      </w:rPr>
    </w:lvl>
    <w:lvl w:ilvl="5" w:tplc="040C0005" w:tentative="1">
      <w:start w:val="1"/>
      <w:numFmt w:val="bullet"/>
      <w:lvlText w:val=""/>
      <w:lvlJc w:val="left"/>
      <w:pPr>
        <w:ind w:left="7604" w:hanging="360"/>
      </w:pPr>
      <w:rPr>
        <w:rFonts w:ascii="Wingdings" w:hAnsi="Wingdings" w:hint="default"/>
      </w:rPr>
    </w:lvl>
    <w:lvl w:ilvl="6" w:tplc="040C0001" w:tentative="1">
      <w:start w:val="1"/>
      <w:numFmt w:val="bullet"/>
      <w:lvlText w:val=""/>
      <w:lvlJc w:val="left"/>
      <w:pPr>
        <w:ind w:left="8324" w:hanging="360"/>
      </w:pPr>
      <w:rPr>
        <w:rFonts w:ascii="Symbol" w:hAnsi="Symbol" w:hint="default"/>
      </w:rPr>
    </w:lvl>
    <w:lvl w:ilvl="7" w:tplc="040C0003" w:tentative="1">
      <w:start w:val="1"/>
      <w:numFmt w:val="bullet"/>
      <w:lvlText w:val="o"/>
      <w:lvlJc w:val="left"/>
      <w:pPr>
        <w:ind w:left="9044" w:hanging="360"/>
      </w:pPr>
      <w:rPr>
        <w:rFonts w:ascii="Courier New" w:hAnsi="Courier New" w:cs="Courier New" w:hint="default"/>
      </w:rPr>
    </w:lvl>
    <w:lvl w:ilvl="8" w:tplc="040C0005" w:tentative="1">
      <w:start w:val="1"/>
      <w:numFmt w:val="bullet"/>
      <w:lvlText w:val=""/>
      <w:lvlJc w:val="left"/>
      <w:pPr>
        <w:ind w:left="9764" w:hanging="360"/>
      </w:pPr>
      <w:rPr>
        <w:rFonts w:ascii="Wingdings" w:hAnsi="Wingdings" w:hint="default"/>
      </w:rPr>
    </w:lvl>
  </w:abstractNum>
  <w:abstractNum w:abstractNumId="2" w15:restartNumberingAfterBreak="0">
    <w:nsid w:val="51E80260"/>
    <w:multiLevelType w:val="hybridMultilevel"/>
    <w:tmpl w:val="93802E9E"/>
    <w:lvl w:ilvl="0" w:tplc="83EA36C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386520"/>
    <w:multiLevelType w:val="hybridMultilevel"/>
    <w:tmpl w:val="7C181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09A18AA"/>
    <w:multiLevelType w:val="hybridMultilevel"/>
    <w:tmpl w:val="DA5227EE"/>
    <w:lvl w:ilvl="0" w:tplc="83EA36C2">
      <w:start w:val="1"/>
      <w:numFmt w:val="bullet"/>
      <w:lvlText w:val="-"/>
      <w:lvlJc w:val="left"/>
      <w:pPr>
        <w:ind w:left="5748"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41"/>
    <w:rsid w:val="00986E9B"/>
    <w:rsid w:val="00BA1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72027-78D2-406D-BA1E-EF050AB0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F4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BA1F41"/>
    <w:rPr>
      <w:rFonts w:ascii="Times New Roman" w:hAnsi="Times New Roman"/>
      <w:color w:val="0000FF"/>
      <w:sz w:val="24"/>
      <w:u w:val="single"/>
    </w:rPr>
  </w:style>
  <w:style w:type="paragraph" w:styleId="Paragraphedeliste">
    <w:name w:val="List Paragraph"/>
    <w:aliases w:val="Citation List,본문(내용),List Paragraph (numbered (a)),Colorful List - Accent 11,Colorful List - Accent 11CxSpLast,List Paragraph (numbered (a))CxSpLast,List Paragraph (numbered (a))CxSpLastCxSpLast,Bullets,Bullet Styles para,Figure_name"/>
    <w:basedOn w:val="Normal"/>
    <w:link w:val="ParagraphedelisteCar"/>
    <w:uiPriority w:val="99"/>
    <w:qFormat/>
    <w:rsid w:val="00BA1F41"/>
    <w:pPr>
      <w:ind w:left="708"/>
    </w:p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link w:val="Paragraphedeliste"/>
    <w:uiPriority w:val="99"/>
    <w:qFormat/>
    <w:locked/>
    <w:rsid w:val="00BA1F41"/>
    <w:rPr>
      <w:rFonts w:ascii="Times New Roman" w:eastAsia="Times New Roman" w:hAnsi="Times New Roman" w:cs="Times New Roman"/>
      <w:sz w:val="20"/>
      <w:szCs w:val="20"/>
      <w:lang w:eastAsia="fr-FR"/>
    </w:rPr>
  </w:style>
  <w:style w:type="paragraph" w:customStyle="1" w:styleId="FrenchHeading">
    <w:name w:val="French Heading"/>
    <w:basedOn w:val="Normal"/>
    <w:qFormat/>
    <w:rsid w:val="00BA1F41"/>
    <w:pPr>
      <w:spacing w:before="240" w:after="240"/>
      <w:jc w:val="center"/>
    </w:pPr>
    <w:rPr>
      <w:b/>
      <w:sz w:val="48"/>
    </w:rPr>
  </w:style>
  <w:style w:type="paragraph" w:customStyle="1" w:styleId="Heading1a">
    <w:name w:val="Heading 1a"/>
    <w:rsid w:val="00BA1F41"/>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lang w:val="en-US"/>
    </w:rPr>
  </w:style>
  <w:style w:type="character" w:styleId="lev">
    <w:name w:val="Strong"/>
    <w:uiPriority w:val="22"/>
    <w:qFormat/>
    <w:rsid w:val="00BA1F41"/>
    <w:rPr>
      <w:bCs/>
    </w:rPr>
  </w:style>
  <w:style w:type="character" w:styleId="Accentuation">
    <w:name w:val="Emphasis"/>
    <w:uiPriority w:val="20"/>
    <w:qFormat/>
    <w:rsid w:val="00BA1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was-reap@ecowas.int" TargetMode="External"/><Relationship Id="rId13" Type="http://schemas.openxmlformats.org/officeDocument/2006/relationships/hyperlink" Target="http://context.reverso.net/traduction/francais-anglais/des+b%C3%A9n%C3%A9ficiaires+effectifs" TargetMode="External"/><Relationship Id="rId3" Type="http://schemas.openxmlformats.org/officeDocument/2006/relationships/settings" Target="settings.xml"/><Relationship Id="rId7" Type="http://schemas.openxmlformats.org/officeDocument/2006/relationships/hyperlink" Target="https://www.dropbox.com/sh/gdn04nrmafs1ry0/AACGBuT3K_nb2o5xCPOVXQpsa?dl=0" TargetMode="External"/><Relationship Id="rId12" Type="http://schemas.openxmlformats.org/officeDocument/2006/relationships/hyperlink" Target="mailto:oustraore@edmsa.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cowasreap1@gmail.com" TargetMode="External"/><Relationship Id="rId11" Type="http://schemas.openxmlformats.org/officeDocument/2006/relationships/hyperlink" Target="mailto:puasee@outlook.pt" TargetMode="External"/><Relationship Id="rId5" Type="http://schemas.openxmlformats.org/officeDocument/2006/relationships/hyperlink" Target="mailto:ecowas-reap@ecowas.int" TargetMode="External"/><Relationship Id="rId15" Type="http://schemas.openxmlformats.org/officeDocument/2006/relationships/fontTable" Target="fontTable.xml"/><Relationship Id="rId10" Type="http://schemas.openxmlformats.org/officeDocument/2006/relationships/hyperlink" Target="mailto:hnjie@nawec.gm" TargetMode="External"/><Relationship Id="rId4" Type="http://schemas.openxmlformats.org/officeDocument/2006/relationships/webSettings" Target="webSettings.xml"/><Relationship Id="rId9" Type="http://schemas.openxmlformats.org/officeDocument/2006/relationships/hyperlink" Target="mailto:degnymarcel@yahoo.fr" TargetMode="External"/><Relationship Id="rId14" Type="http://schemas.openxmlformats.org/officeDocument/2006/relationships/hyperlink" Target="http://context.reverso.net/traduction/francais-anglais/des+b%C3%A9n%C3%A9ficiaires+effectif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8471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KOUASSI Lambert</dc:creator>
  <cp:keywords/>
  <dc:description/>
  <cp:lastModifiedBy>KOUASSI Lambert</cp:lastModifiedBy>
  <cp:revision>1</cp:revision>
  <dcterms:created xsi:type="dcterms:W3CDTF">2020-12-10T10:17:00Z</dcterms:created>
  <dcterms:modified xsi:type="dcterms:W3CDTF">2020-12-10T10:18:00Z</dcterms:modified>
</cp:coreProperties>
</file>