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4A30"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42E8BAA0"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1FEB9350" w14:textId="0548C275" w:rsidR="00D6195C"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4FBFCC0B"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0C03A475"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02C8C38C"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236FBF95" w14:textId="48BE00EA" w:rsidR="00903A19" w:rsidRPr="00AA59D0" w:rsidRDefault="000724EA" w:rsidP="00903A19">
      <w:pPr>
        <w:ind w:left="1134" w:hanging="567"/>
        <w:rPr>
          <w:rFonts w:ascii="Times New Roman" w:hAnsi="Times New Roman"/>
          <w:b/>
          <w:sz w:val="22"/>
          <w:szCs w:val="22"/>
          <w:u w:val="single"/>
        </w:rPr>
      </w:pPr>
      <w:r w:rsidRPr="003D6B6C">
        <w:rPr>
          <w:rFonts w:ascii="Times New Roman" w:hAnsi="Times New Roman"/>
          <w:sz w:val="22"/>
          <w:szCs w:val="22"/>
        </w:rPr>
        <w:t>4.1</w:t>
      </w:r>
      <w:r w:rsidRPr="003D6B6C">
        <w:rPr>
          <w:rFonts w:ascii="Times New Roman" w:hAnsi="Times New Roman"/>
          <w:sz w:val="22"/>
          <w:szCs w:val="22"/>
        </w:rPr>
        <w:tab/>
      </w:r>
      <w:r w:rsidR="00903A19" w:rsidRPr="001557F3">
        <w:rPr>
          <w:rFonts w:ascii="Times New Roman" w:hAnsi="Times New Roman"/>
          <w:b/>
          <w:sz w:val="22"/>
          <w:szCs w:val="22"/>
          <w:u w:val="single"/>
        </w:rPr>
        <w:t>For the Contracting Authority</w:t>
      </w:r>
    </w:p>
    <w:p w14:paraId="11156AC2" w14:textId="77777777"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The Head, Procurement Division</w:t>
      </w:r>
    </w:p>
    <w:p w14:paraId="7DAD4DB8" w14:textId="4A1CFCC6"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Office of the Commissioner, General Administratio</w:t>
      </w:r>
      <w:r w:rsidR="001437B9">
        <w:rPr>
          <w:rFonts w:ascii="Times New Roman" w:hAnsi="Times New Roman"/>
          <w:sz w:val="22"/>
          <w:szCs w:val="22"/>
        </w:rPr>
        <w:t>n</w:t>
      </w:r>
      <w:bookmarkStart w:id="3" w:name="_GoBack"/>
      <w:bookmarkEnd w:id="3"/>
      <w:r w:rsidRPr="001557F3">
        <w:rPr>
          <w:rFonts w:ascii="Times New Roman" w:hAnsi="Times New Roman"/>
          <w:sz w:val="22"/>
          <w:szCs w:val="22"/>
        </w:rPr>
        <w:t xml:space="preserve"> &amp; Conference</w:t>
      </w:r>
    </w:p>
    <w:p w14:paraId="7C8B835A" w14:textId="77777777"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5th Floor ECOWAS Commission</w:t>
      </w:r>
    </w:p>
    <w:p w14:paraId="0F3B091C" w14:textId="77777777"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Plot 101, Yakubu Gowon Crescent, Asokoro District</w:t>
      </w:r>
    </w:p>
    <w:p w14:paraId="66D942EC" w14:textId="77777777"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Abuja, NIGERIA</w:t>
      </w:r>
    </w:p>
    <w:p w14:paraId="37E94A13" w14:textId="77777777" w:rsidR="00903A19" w:rsidRPr="001557F3" w:rsidRDefault="00903A19" w:rsidP="00AA59D0">
      <w:pPr>
        <w:spacing w:before="0" w:after="0" w:line="276" w:lineRule="auto"/>
        <w:ind w:left="1134"/>
        <w:rPr>
          <w:rFonts w:ascii="Times New Roman" w:hAnsi="Times New Roman"/>
          <w:sz w:val="22"/>
          <w:szCs w:val="22"/>
        </w:rPr>
      </w:pPr>
      <w:r w:rsidRPr="001557F3">
        <w:rPr>
          <w:rFonts w:ascii="Times New Roman" w:hAnsi="Times New Roman"/>
          <w:sz w:val="22"/>
          <w:szCs w:val="22"/>
        </w:rPr>
        <w:t xml:space="preserve">E-mail: </w:t>
      </w:r>
      <w:hyperlink r:id="rId8" w:history="1">
        <w:r w:rsidRPr="001557F3">
          <w:rPr>
            <w:rStyle w:val="Hyperlink"/>
            <w:rFonts w:ascii="Times New Roman" w:hAnsi="Times New Roman"/>
            <w:sz w:val="22"/>
            <w:szCs w:val="22"/>
          </w:rPr>
          <w:t>procurement@ecowas.int</w:t>
        </w:r>
      </w:hyperlink>
      <w:r w:rsidRPr="001557F3">
        <w:rPr>
          <w:rFonts w:ascii="Times New Roman" w:hAnsi="Times New Roman"/>
          <w:sz w:val="22"/>
          <w:szCs w:val="22"/>
        </w:rPr>
        <w:t xml:space="preserve"> with copy to </w:t>
      </w:r>
      <w:hyperlink r:id="rId9" w:history="1">
        <w:r w:rsidRPr="001557F3">
          <w:rPr>
            <w:rStyle w:val="Hyperlink"/>
            <w:rFonts w:ascii="Times New Roman" w:hAnsi="Times New Roman"/>
            <w:sz w:val="22"/>
            <w:szCs w:val="22"/>
          </w:rPr>
          <w:t>vtulay@ecowas.int</w:t>
        </w:r>
      </w:hyperlink>
    </w:p>
    <w:p w14:paraId="0BCB9BCA" w14:textId="77777777" w:rsidR="00903A19" w:rsidRDefault="00903A19" w:rsidP="00903A19">
      <w:pPr>
        <w:ind w:left="1134"/>
        <w:rPr>
          <w:rFonts w:ascii="Times New Roman" w:hAnsi="Times New Roman"/>
          <w:b/>
          <w:sz w:val="22"/>
          <w:szCs w:val="22"/>
          <w:u w:val="single"/>
        </w:rPr>
      </w:pPr>
      <w:r w:rsidRPr="00DF5627">
        <w:rPr>
          <w:rFonts w:ascii="Times New Roman" w:hAnsi="Times New Roman"/>
          <w:b/>
          <w:sz w:val="22"/>
          <w:szCs w:val="22"/>
          <w:u w:val="single"/>
        </w:rPr>
        <w:t>For the Contractor</w:t>
      </w:r>
    </w:p>
    <w:p w14:paraId="1D24428B" w14:textId="77777777" w:rsidR="00903A19" w:rsidRDefault="00903A19" w:rsidP="00AA59D0">
      <w:pPr>
        <w:spacing w:before="0" w:after="0"/>
        <w:ind w:left="1134"/>
        <w:rPr>
          <w:rFonts w:ascii="Times New Roman" w:hAnsi="Times New Roman"/>
          <w:sz w:val="22"/>
          <w:szCs w:val="22"/>
        </w:rPr>
      </w:pPr>
      <w:r w:rsidRPr="00DA6740">
        <w:rPr>
          <w:rFonts w:ascii="Times New Roman" w:hAnsi="Times New Roman"/>
          <w:sz w:val="22"/>
          <w:szCs w:val="22"/>
        </w:rPr>
        <w:t>…………………………</w:t>
      </w:r>
    </w:p>
    <w:p w14:paraId="13197DC7" w14:textId="77777777" w:rsidR="00903A19" w:rsidRDefault="00903A19" w:rsidP="00AA59D0">
      <w:pPr>
        <w:spacing w:before="0" w:after="0"/>
        <w:ind w:left="1134"/>
        <w:rPr>
          <w:rFonts w:ascii="Times New Roman" w:hAnsi="Times New Roman"/>
          <w:sz w:val="22"/>
          <w:szCs w:val="22"/>
        </w:rPr>
      </w:pPr>
      <w:r>
        <w:rPr>
          <w:rFonts w:ascii="Times New Roman" w:hAnsi="Times New Roman"/>
          <w:sz w:val="22"/>
          <w:szCs w:val="22"/>
        </w:rPr>
        <w:t>…………………………</w:t>
      </w:r>
    </w:p>
    <w:p w14:paraId="53FB065F" w14:textId="1C775E8C" w:rsidR="00903A19" w:rsidRDefault="00903A19" w:rsidP="00903A19">
      <w:pPr>
        <w:spacing w:before="0" w:after="0"/>
        <w:ind w:left="1134"/>
        <w:rPr>
          <w:rFonts w:ascii="Times New Roman" w:hAnsi="Times New Roman"/>
          <w:sz w:val="22"/>
          <w:szCs w:val="22"/>
        </w:rPr>
      </w:pPr>
      <w:r>
        <w:rPr>
          <w:rFonts w:ascii="Times New Roman" w:hAnsi="Times New Roman"/>
          <w:sz w:val="22"/>
          <w:szCs w:val="22"/>
        </w:rPr>
        <w:t>…………………………</w:t>
      </w:r>
    </w:p>
    <w:p w14:paraId="2A72E5CC" w14:textId="7E4DAF3D" w:rsidR="00D6195C" w:rsidRDefault="00D6195C" w:rsidP="00903A19">
      <w:pPr>
        <w:spacing w:before="0" w:after="0"/>
        <w:ind w:left="1134"/>
        <w:rPr>
          <w:rFonts w:ascii="Times New Roman" w:hAnsi="Times New Roman"/>
          <w:sz w:val="22"/>
          <w:szCs w:val="22"/>
        </w:rPr>
      </w:pPr>
      <w:r>
        <w:rPr>
          <w:rFonts w:ascii="Times New Roman" w:hAnsi="Times New Roman"/>
          <w:sz w:val="22"/>
          <w:szCs w:val="22"/>
        </w:rPr>
        <w:t>…………………………</w:t>
      </w:r>
    </w:p>
    <w:p w14:paraId="0ECECCB2" w14:textId="77777777" w:rsidR="00903A19" w:rsidRDefault="00903A19" w:rsidP="00AA59D0">
      <w:pPr>
        <w:spacing w:before="0" w:after="0"/>
        <w:ind w:left="1134"/>
        <w:rPr>
          <w:rFonts w:ascii="Times New Roman" w:hAnsi="Times New Roman"/>
          <w:sz w:val="22"/>
          <w:szCs w:val="22"/>
        </w:rPr>
      </w:pPr>
    </w:p>
    <w:p w14:paraId="58A87E19" w14:textId="77777777" w:rsidR="006D3DE4" w:rsidRPr="006D3DE4" w:rsidRDefault="006D3DE4" w:rsidP="00C73F87">
      <w:pPr>
        <w:ind w:left="1134" w:hanging="567"/>
        <w:jc w:val="both"/>
        <w:rPr>
          <w:rFonts w:ascii="Times New Roman" w:hAnsi="Times New Roman"/>
          <w:sz w:val="22"/>
          <w:szCs w:val="22"/>
        </w:rPr>
      </w:pPr>
      <w:r>
        <w:rPr>
          <w:rFonts w:ascii="Times New Roman" w:hAnsi="Times New Roman"/>
          <w:sz w:val="22"/>
          <w:szCs w:val="22"/>
        </w:rPr>
        <w:t>4</w:t>
      </w:r>
      <w:r w:rsidRPr="006D3DE4">
        <w:rPr>
          <w:rFonts w:ascii="Times New Roman" w:hAnsi="Times New Roman"/>
          <w:sz w:val="22"/>
          <w:szCs w:val="22"/>
        </w:rPr>
        <w:t>.2</w:t>
      </w:r>
      <w:r w:rsidRPr="006D3DE4">
        <w:rPr>
          <w:rFonts w:ascii="Times New Roman" w:hAnsi="Times New Roman"/>
          <w:sz w:val="22"/>
          <w:szCs w:val="22"/>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52FA78D8" w14:textId="77777777" w:rsidR="006D3DE4" w:rsidRPr="003D6B6C" w:rsidRDefault="006D3DE4" w:rsidP="00C73F87">
      <w:pPr>
        <w:ind w:left="1134" w:hanging="567"/>
        <w:jc w:val="both"/>
        <w:rPr>
          <w:rFonts w:ascii="Times New Roman" w:hAnsi="Times New Roman"/>
          <w:sz w:val="22"/>
          <w:szCs w:val="22"/>
        </w:rPr>
      </w:pPr>
      <w:r w:rsidRPr="006D3DE4">
        <w:rPr>
          <w:rFonts w:ascii="Times New Roman" w:hAnsi="Times New Roman"/>
          <w:sz w:val="22"/>
          <w:szCs w:val="22"/>
        </w:rPr>
        <w:tab/>
        <w:t>The electronic management of the contract through the aforementioned system may commence on the date on which implementation of the contract st</w:t>
      </w:r>
      <w:r>
        <w:rPr>
          <w:rFonts w:ascii="Times New Roman" w:hAnsi="Times New Roman"/>
          <w:sz w:val="22"/>
          <w:szCs w:val="22"/>
        </w:rPr>
        <w:t>arts, as described in Article 18</w:t>
      </w:r>
      <w:r w:rsidRPr="006D3DE4">
        <w:rPr>
          <w:rFonts w:ascii="Times New Roman" w:hAnsi="Times New Roman"/>
          <w:sz w:val="22"/>
          <w:szCs w:val="22"/>
        </w:rPr>
        <w:t xml:space="preserve"> below, or at a later date. </w:t>
      </w:r>
      <w:r w:rsidR="004C270A" w:rsidRPr="004C270A">
        <w:rPr>
          <w:rFonts w:ascii="Times New Roman" w:hAnsi="Times New Roman"/>
          <w:sz w:val="22"/>
          <w:szCs w:val="22"/>
        </w:rPr>
        <w:t>In the latter case, the contracting authority will inform th</w:t>
      </w:r>
      <w:r w:rsidR="004C270A">
        <w:rPr>
          <w:rFonts w:ascii="Times New Roman" w:hAnsi="Times New Roman"/>
          <w:sz w:val="22"/>
          <w:szCs w:val="22"/>
        </w:rPr>
        <w:t>e contractor</w:t>
      </w:r>
      <w:r w:rsidR="004C270A" w:rsidRPr="004C270A">
        <w:rPr>
          <w:rFonts w:ascii="Times New Roman" w:hAnsi="Times New Roman"/>
          <w:sz w:val="22"/>
          <w:szCs w:val="22"/>
        </w:rPr>
        <w:t xml:space="preserve"> in writing that he will be required to use the electronic system for all communications within a maximum period of 3 months.</w:t>
      </w:r>
    </w:p>
    <w:p w14:paraId="6DFAE8A8" w14:textId="62A4FFDC" w:rsidR="0047783A" w:rsidRPr="003D6B6C" w:rsidRDefault="0047783A" w:rsidP="004F7A0E">
      <w:pPr>
        <w:spacing w:before="240"/>
        <w:ind w:left="1134" w:hanging="1134"/>
        <w:jc w:val="both"/>
        <w:rPr>
          <w:rFonts w:ascii="Times New Roman" w:hAnsi="Times New Roman"/>
          <w:b/>
          <w:sz w:val="24"/>
          <w:szCs w:val="24"/>
        </w:rPr>
      </w:pPr>
      <w:r w:rsidRPr="00AA59D0">
        <w:rPr>
          <w:rFonts w:ascii="Times New Roman" w:hAnsi="Times New Roman"/>
          <w:b/>
          <w:sz w:val="24"/>
          <w:szCs w:val="24"/>
        </w:rPr>
        <w:t>Article 6</w:t>
      </w:r>
      <w:r w:rsidRPr="00AA59D0">
        <w:rPr>
          <w:rFonts w:ascii="Times New Roman" w:hAnsi="Times New Roman"/>
          <w:b/>
          <w:sz w:val="24"/>
          <w:szCs w:val="24"/>
        </w:rPr>
        <w:tab/>
        <w:t>Subcontracting</w:t>
      </w:r>
    </w:p>
    <w:p w14:paraId="4DBC6E57" w14:textId="45560CEC" w:rsidR="0047783A" w:rsidRPr="003D6B6C" w:rsidRDefault="00923EDA" w:rsidP="004F7A0E">
      <w:pPr>
        <w:widowControl w:val="0"/>
        <w:ind w:left="1134" w:hanging="567"/>
        <w:jc w:val="both"/>
        <w:rPr>
          <w:rFonts w:ascii="Times New Roman" w:hAnsi="Times New Roman"/>
          <w:sz w:val="22"/>
          <w:szCs w:val="22"/>
        </w:rPr>
      </w:pPr>
      <w:r w:rsidRPr="003D6B6C">
        <w:rPr>
          <w:rFonts w:ascii="Times New Roman" w:hAnsi="Times New Roman"/>
          <w:sz w:val="22"/>
          <w:szCs w:val="22"/>
        </w:rPr>
        <w:t>6.3</w:t>
      </w:r>
      <w:r w:rsidRPr="003D6B6C">
        <w:rPr>
          <w:rFonts w:ascii="Times New Roman" w:hAnsi="Times New Roman"/>
          <w:sz w:val="22"/>
          <w:szCs w:val="22"/>
        </w:rPr>
        <w:tab/>
      </w:r>
      <w:r w:rsidR="003F7AF5" w:rsidRPr="00AA59D0">
        <w:rPr>
          <w:rFonts w:ascii="Times New Roman" w:hAnsi="Times New Roman"/>
          <w:sz w:val="22"/>
          <w:szCs w:val="22"/>
        </w:rPr>
        <w:t>When</w:t>
      </w:r>
      <w:r w:rsidR="0047783A" w:rsidRPr="00AA59D0">
        <w:rPr>
          <w:rFonts w:ascii="Times New Roman" w:hAnsi="Times New Roman"/>
          <w:sz w:val="22"/>
          <w:szCs w:val="22"/>
        </w:rPr>
        <w:t xml:space="preserve"> select</w:t>
      </w:r>
      <w:r w:rsidR="003F7AF5" w:rsidRPr="00AA59D0">
        <w:rPr>
          <w:rFonts w:ascii="Times New Roman" w:hAnsi="Times New Roman"/>
          <w:sz w:val="22"/>
          <w:szCs w:val="22"/>
        </w:rPr>
        <w:t>ing</w:t>
      </w:r>
      <w:r w:rsidR="0047783A" w:rsidRPr="00AA59D0">
        <w:rPr>
          <w:rFonts w:ascii="Times New Roman" w:hAnsi="Times New Roman"/>
          <w:sz w:val="22"/>
          <w:szCs w:val="22"/>
        </w:rPr>
        <w:t xml:space="preserve"> subcontractors the </w:t>
      </w:r>
      <w:r w:rsidR="00B2529B" w:rsidRPr="00AA59D0">
        <w:rPr>
          <w:rFonts w:ascii="Times New Roman" w:hAnsi="Times New Roman"/>
          <w:sz w:val="22"/>
          <w:szCs w:val="22"/>
        </w:rPr>
        <w:t>c</w:t>
      </w:r>
      <w:r w:rsidR="0047783A" w:rsidRPr="00AA59D0">
        <w:rPr>
          <w:rFonts w:ascii="Times New Roman" w:hAnsi="Times New Roman"/>
          <w:sz w:val="22"/>
          <w:szCs w:val="22"/>
        </w:rPr>
        <w:t>ontractor</w:t>
      </w:r>
      <w:r w:rsidR="003F7AF5" w:rsidRPr="00AA59D0">
        <w:rPr>
          <w:rFonts w:ascii="Times New Roman" w:hAnsi="Times New Roman"/>
          <w:sz w:val="22"/>
          <w:szCs w:val="22"/>
        </w:rPr>
        <w:t xml:space="preserve"> must give preference</w:t>
      </w:r>
      <w:r w:rsidR="0047783A" w:rsidRPr="00AA59D0">
        <w:rPr>
          <w:rFonts w:ascii="Times New Roman" w:hAnsi="Times New Roman"/>
          <w:sz w:val="22"/>
          <w:szCs w:val="22"/>
        </w:rPr>
        <w:t xml:space="preserve"> to natural persons</w:t>
      </w:r>
      <w:r w:rsidR="003C7266" w:rsidRPr="00AA59D0">
        <w:rPr>
          <w:rFonts w:ascii="Times New Roman" w:hAnsi="Times New Roman"/>
          <w:sz w:val="22"/>
          <w:szCs w:val="22"/>
        </w:rPr>
        <w:t xml:space="preserve"> or</w:t>
      </w:r>
      <w:r w:rsidR="0047783A" w:rsidRPr="00AA59D0">
        <w:rPr>
          <w:rFonts w:ascii="Times New Roman" w:hAnsi="Times New Roman"/>
          <w:sz w:val="22"/>
          <w:szCs w:val="22"/>
        </w:rPr>
        <w:t xml:space="preserve"> companies </w:t>
      </w:r>
      <w:r w:rsidR="003F7AF5" w:rsidRPr="00AA59D0">
        <w:rPr>
          <w:rFonts w:ascii="Times New Roman" w:hAnsi="Times New Roman"/>
          <w:sz w:val="22"/>
          <w:szCs w:val="22"/>
        </w:rPr>
        <w:t xml:space="preserve">from </w:t>
      </w:r>
      <w:r w:rsidR="0047783A" w:rsidRPr="00AA59D0">
        <w:rPr>
          <w:rFonts w:ascii="Times New Roman" w:hAnsi="Times New Roman"/>
          <w:sz w:val="22"/>
          <w:szCs w:val="22"/>
        </w:rPr>
        <w:t>ACP States capable of implementing the tasks required on similar terms.</w:t>
      </w:r>
    </w:p>
    <w:p w14:paraId="50E1DC71" w14:textId="77777777" w:rsidR="0047783A" w:rsidRPr="003D6B6C" w:rsidRDefault="0047783A" w:rsidP="00B34179">
      <w:pPr>
        <w:spacing w:before="240"/>
        <w:ind w:left="1134" w:hanging="1134"/>
        <w:jc w:val="both"/>
        <w:rPr>
          <w:rFonts w:ascii="Times New Roman" w:hAnsi="Times New Roman"/>
          <w:b/>
          <w:sz w:val="24"/>
          <w:szCs w:val="24"/>
        </w:rPr>
      </w:pPr>
      <w:bookmarkStart w:id="4" w:name="_Toc124934898"/>
      <w:r w:rsidRPr="003D6B6C">
        <w:rPr>
          <w:rFonts w:ascii="Times New Roman" w:hAnsi="Times New Roman"/>
          <w:b/>
          <w:sz w:val="24"/>
          <w:szCs w:val="24"/>
        </w:rPr>
        <w:lastRenderedPageBreak/>
        <w:t>Article 7</w:t>
      </w:r>
      <w:r w:rsidRPr="003D6B6C">
        <w:rPr>
          <w:rFonts w:ascii="Times New Roman" w:hAnsi="Times New Roman"/>
          <w:b/>
          <w:sz w:val="24"/>
          <w:szCs w:val="24"/>
        </w:rPr>
        <w:tab/>
        <w:t>Supply of documents</w:t>
      </w:r>
      <w:bookmarkEnd w:id="4"/>
    </w:p>
    <w:p w14:paraId="03D2B6EB" w14:textId="62AC0113" w:rsidR="0047783A" w:rsidRPr="003D6B6C" w:rsidRDefault="00903A19" w:rsidP="00AA59D0">
      <w:pPr>
        <w:ind w:left="1134"/>
        <w:jc w:val="both"/>
        <w:rPr>
          <w:rFonts w:ascii="Times New Roman" w:hAnsi="Times New Roman"/>
          <w:b/>
          <w:sz w:val="22"/>
          <w:szCs w:val="22"/>
        </w:rPr>
      </w:pPr>
      <w:r w:rsidRPr="00903A19">
        <w:rPr>
          <w:rFonts w:ascii="Times New Roman" w:hAnsi="Times New Roman"/>
          <w:sz w:val="22"/>
          <w:szCs w:val="22"/>
        </w:rPr>
        <w:t>The Contractor shall provide all necessary/relevant documents, including if applicable User’s Manuals in the official language of the country of delivery of the goods, prior to provisional acceptance</w:t>
      </w:r>
    </w:p>
    <w:p w14:paraId="27955988"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27986FE1" w14:textId="4CDD82CE" w:rsidR="00E0396B" w:rsidRPr="003D6B6C" w:rsidRDefault="00E0396B" w:rsidP="003D6B6C">
      <w:pPr>
        <w:tabs>
          <w:tab w:val="left" w:pos="426"/>
        </w:tabs>
        <w:ind w:left="1134" w:right="-285" w:hanging="708"/>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903A19" w:rsidRPr="00903A19">
        <w:rPr>
          <w:rFonts w:ascii="Times New Roman" w:hAnsi="Times New Roman"/>
          <w:sz w:val="22"/>
          <w:szCs w:val="22"/>
        </w:rPr>
        <w:t xml:space="preserve">The equipment delivered should comply with the Contractor’s  minimum obligation toward visibility, as per the rules laid down in the Communication and Visibility Manual for EU External Actions published on the EuropeAid Website: </w:t>
      </w:r>
      <w:r w:rsidR="003D6B6C" w:rsidRPr="003D6B6C">
        <w:rPr>
          <w:rFonts w:ascii="Times New Roman" w:hAnsi="Times New Roman"/>
          <w:sz w:val="22"/>
          <w:szCs w:val="22"/>
          <w:highlight w:val="yellow"/>
        </w:rPr>
        <w:t xml:space="preserve"> </w:t>
      </w:r>
      <w:hyperlink r:id="rId10" w:history="1">
        <w:r w:rsidR="009B71DF" w:rsidRPr="00AF7F07">
          <w:rPr>
            <w:rStyle w:val="Hyperlink"/>
            <w:rFonts w:ascii="Times New Roman" w:hAnsi="Times New Roman"/>
            <w:sz w:val="22"/>
            <w:szCs w:val="22"/>
          </w:rPr>
          <w:t>https://ec.europa.eu/europeaid/funding/communication-and-visibility-manual-eu-external-actions_en</w:t>
        </w:r>
      </w:hyperlink>
      <w:r w:rsidR="009B71DF">
        <w:rPr>
          <w:rFonts w:ascii="Times New Roman" w:hAnsi="Times New Roman"/>
          <w:sz w:val="22"/>
          <w:szCs w:val="22"/>
        </w:rPr>
        <w:t xml:space="preserve"> </w:t>
      </w:r>
      <w:r w:rsidR="00903A19" w:rsidRPr="00AA59D0">
        <w:rPr>
          <w:rFonts w:ascii="Times New Roman" w:hAnsi="Times New Roman"/>
          <w:sz w:val="22"/>
          <w:szCs w:val="22"/>
        </w:rPr>
        <w:t>.</w:t>
      </w:r>
    </w:p>
    <w:p w14:paraId="1E08CA6E" w14:textId="77777777" w:rsidR="0047783A" w:rsidRPr="003D6B6C" w:rsidRDefault="0047783A" w:rsidP="001B55AC">
      <w:pPr>
        <w:keepNext/>
        <w:spacing w:before="240"/>
        <w:ind w:left="1134" w:hanging="1134"/>
        <w:jc w:val="both"/>
        <w:rPr>
          <w:rFonts w:ascii="Times New Roman" w:hAnsi="Times New Roman"/>
          <w:b/>
          <w:sz w:val="24"/>
          <w:szCs w:val="24"/>
        </w:rPr>
      </w:pPr>
      <w:bookmarkStart w:id="5"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5"/>
    </w:p>
    <w:p w14:paraId="524AA092" w14:textId="3A35F477" w:rsidR="0047783A" w:rsidRPr="003D6B6C" w:rsidRDefault="0047783A" w:rsidP="005D03AA">
      <w:pPr>
        <w:pStyle w:val="Heading2"/>
        <w:keepNext w:val="0"/>
        <w:numPr>
          <w:ilvl w:val="1"/>
          <w:numId w:val="0"/>
        </w:numPr>
        <w:ind w:left="1134" w:hanging="708"/>
        <w:jc w:val="both"/>
        <w:rPr>
          <w:rFonts w:ascii="Times New Roman" w:hAnsi="Times New Roman"/>
          <w:sz w:val="22"/>
          <w:szCs w:val="22"/>
          <w:lang w:val="en-GB"/>
        </w:rPr>
      </w:pPr>
      <w:r w:rsidRPr="003D6B6C">
        <w:rPr>
          <w:rFonts w:ascii="Times New Roman" w:hAnsi="Times New Roman"/>
          <w:sz w:val="22"/>
          <w:szCs w:val="22"/>
          <w:lang w:val="en-GB"/>
        </w:rPr>
        <w:t>10.1</w:t>
      </w:r>
      <w:r w:rsidRPr="003D6B6C">
        <w:rPr>
          <w:rFonts w:ascii="Times New Roman" w:hAnsi="Times New Roman"/>
          <w:sz w:val="22"/>
          <w:szCs w:val="22"/>
          <w:lang w:val="en-GB"/>
        </w:rPr>
        <w:tab/>
        <w:t>All goods purchased must originate in a Member State of the European Union or a country covered by the.</w:t>
      </w:r>
      <w:r w:rsidR="00903A19" w:rsidRPr="00903A19">
        <w:rPr>
          <w:rFonts w:ascii="Times New Roman" w:hAnsi="Times New Roman"/>
          <w:sz w:val="22"/>
          <w:szCs w:val="22"/>
          <w:lang w:val="en-US"/>
        </w:rPr>
        <w:t xml:space="preserve"> </w:t>
      </w:r>
      <w:r w:rsidR="00903A19">
        <w:rPr>
          <w:rFonts w:ascii="Times New Roman" w:hAnsi="Times New Roman"/>
          <w:sz w:val="22"/>
          <w:szCs w:val="22"/>
          <w:lang w:val="en-US"/>
        </w:rPr>
        <w:t>Financing Agreement number ROC/FED/022-795/ECOWAS-Support to the ECOWAS Regional Peace, Security and Stability Mandate (EU-ECOWAS-PSS) under the 10</w:t>
      </w:r>
      <w:r w:rsidR="00903A19" w:rsidRPr="00DB0DCF">
        <w:rPr>
          <w:rFonts w:ascii="Times New Roman" w:hAnsi="Times New Roman"/>
          <w:sz w:val="22"/>
          <w:szCs w:val="22"/>
          <w:vertAlign w:val="superscript"/>
          <w:lang w:val="en-US"/>
        </w:rPr>
        <w:t>th</w:t>
      </w:r>
      <w:r w:rsidR="00903A19">
        <w:rPr>
          <w:rFonts w:ascii="Times New Roman" w:hAnsi="Times New Roman"/>
          <w:sz w:val="22"/>
          <w:szCs w:val="22"/>
          <w:lang w:val="en-US"/>
        </w:rPr>
        <w:t xml:space="preserve"> EDF</w:t>
      </w:r>
      <w:r w:rsidR="00903A19" w:rsidRPr="003D6B6C">
        <w:rPr>
          <w:rFonts w:ascii="Times New Roman" w:hAnsi="Times New Roman"/>
          <w:sz w:val="22"/>
          <w:szCs w:val="22"/>
          <w:lang w:val="en-GB"/>
        </w:rPr>
        <w:t xml:space="preserve"> </w:t>
      </w:r>
      <w:r w:rsidRPr="003D6B6C">
        <w:rPr>
          <w:rFonts w:ascii="Times New Roman" w:hAnsi="Times New Roman"/>
          <w:sz w:val="22"/>
          <w:szCs w:val="22"/>
          <w:lang w:val="en-GB"/>
        </w:rPr>
        <w:t xml:space="preserve">programme. For these purposes, </w:t>
      </w:r>
      <w:r w:rsidR="006A5F84" w:rsidRPr="003D6B6C">
        <w:rPr>
          <w:rFonts w:ascii="Times New Roman" w:hAnsi="Times New Roman"/>
          <w:sz w:val="22"/>
          <w:szCs w:val="22"/>
          <w:lang w:val="en-GB"/>
        </w:rPr>
        <w:t>‘</w:t>
      </w:r>
      <w:r w:rsidRPr="003D6B6C">
        <w:rPr>
          <w:rFonts w:ascii="Times New Roman" w:hAnsi="Times New Roman"/>
          <w:sz w:val="22"/>
          <w:szCs w:val="22"/>
          <w:lang w:val="en-GB"/>
        </w:rPr>
        <w:t>origin</w:t>
      </w:r>
      <w:r w:rsidR="006A5F84" w:rsidRPr="003D6B6C">
        <w:rPr>
          <w:rFonts w:ascii="Times New Roman" w:hAnsi="Times New Roman"/>
          <w:sz w:val="22"/>
          <w:szCs w:val="22"/>
          <w:lang w:val="en-GB"/>
        </w:rPr>
        <w:t>’</w:t>
      </w:r>
      <w:r w:rsidRPr="003D6B6C">
        <w:rPr>
          <w:rFonts w:ascii="Times New Roman" w:hAnsi="Times New Roman"/>
          <w:sz w:val="22"/>
          <w:szCs w:val="22"/>
          <w:lang w:val="en-GB"/>
        </w:rPr>
        <w:t xml:space="preserve"> means the place where the goods are mined, grown, produced or manufactured and/or from which services are provided. The origin of the goods must be determined according to the EU Customs Code or to the relevant international agreement applicable.</w:t>
      </w:r>
    </w:p>
    <w:p w14:paraId="13FEED3D" w14:textId="5CB9AE24" w:rsidR="0047783A" w:rsidRPr="003D6B6C" w:rsidRDefault="0047783A" w:rsidP="004F7A0E">
      <w:pPr>
        <w:pStyle w:val="Heading2"/>
        <w:keepNext w:val="0"/>
        <w:numPr>
          <w:ilvl w:val="1"/>
          <w:numId w:val="0"/>
        </w:numPr>
        <w:ind w:left="1134"/>
        <w:jc w:val="both"/>
        <w:rPr>
          <w:rFonts w:ascii="Times New Roman" w:hAnsi="Times New Roman"/>
          <w:sz w:val="22"/>
          <w:szCs w:val="22"/>
          <w:lang w:val="en-GB"/>
        </w:rPr>
      </w:pPr>
      <w:r w:rsidRPr="00AA59D0">
        <w:rPr>
          <w:rFonts w:ascii="Times New Roman" w:hAnsi="Times New Roman"/>
          <w:sz w:val="22"/>
          <w:szCs w:val="22"/>
          <w:lang w:val="en-GB"/>
        </w:rPr>
        <w:t>Goods originating in the EU includes goods originating in the Overseas Countries and Territories.</w:t>
      </w:r>
    </w:p>
    <w:p w14:paraId="6CC8DBBE" w14:textId="77777777" w:rsidR="0047783A" w:rsidRPr="003D6B6C" w:rsidRDefault="0047783A" w:rsidP="00B34179">
      <w:pPr>
        <w:spacing w:before="240"/>
        <w:ind w:left="1134" w:hanging="1134"/>
        <w:jc w:val="both"/>
        <w:rPr>
          <w:rFonts w:ascii="Times New Roman" w:hAnsi="Times New Roman"/>
          <w:b/>
          <w:sz w:val="24"/>
          <w:szCs w:val="24"/>
        </w:rPr>
      </w:pPr>
      <w:bookmarkStart w:id="6" w:name="_Toc124934901"/>
      <w:r w:rsidRPr="003D6B6C">
        <w:rPr>
          <w:rFonts w:ascii="Times New Roman" w:hAnsi="Times New Roman"/>
          <w:b/>
          <w:sz w:val="24"/>
          <w:szCs w:val="24"/>
        </w:rPr>
        <w:t>Article 11</w:t>
      </w:r>
      <w:r w:rsidRPr="003D6B6C">
        <w:rPr>
          <w:rFonts w:ascii="Times New Roman" w:hAnsi="Times New Roman"/>
          <w:b/>
          <w:sz w:val="24"/>
          <w:szCs w:val="24"/>
        </w:rPr>
        <w:tab/>
        <w:t>Performance guarantee</w:t>
      </w:r>
      <w:bookmarkEnd w:id="6"/>
    </w:p>
    <w:p w14:paraId="70A30BAB" w14:textId="08B3C5B4" w:rsidR="0047783A" w:rsidRPr="003D6B6C" w:rsidRDefault="00F355C1" w:rsidP="00F017DE">
      <w:pPr>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47783A" w:rsidRPr="00AA59D0">
        <w:rPr>
          <w:rFonts w:ascii="Times New Roman" w:hAnsi="Times New Roman"/>
          <w:sz w:val="22"/>
          <w:szCs w:val="22"/>
        </w:rPr>
        <w:t xml:space="preserve">The amount of the performance guarantee </w:t>
      </w:r>
      <w:r w:rsidR="005B0129" w:rsidRPr="00AA59D0">
        <w:rPr>
          <w:rFonts w:ascii="Times New Roman" w:hAnsi="Times New Roman"/>
          <w:sz w:val="22"/>
          <w:szCs w:val="22"/>
        </w:rPr>
        <w:t xml:space="preserve">shall </w:t>
      </w:r>
      <w:r w:rsidR="0047783A" w:rsidRPr="00AA59D0">
        <w:rPr>
          <w:rFonts w:ascii="Times New Roman" w:hAnsi="Times New Roman"/>
          <w:sz w:val="22"/>
          <w:szCs w:val="22"/>
        </w:rPr>
        <w:t>be 10</w:t>
      </w:r>
      <w:r w:rsidR="00D662AA" w:rsidRPr="00AA59D0">
        <w:rPr>
          <w:rFonts w:ascii="Times New Roman" w:hAnsi="Times New Roman"/>
          <w:sz w:val="22"/>
          <w:szCs w:val="22"/>
        </w:rPr>
        <w:t xml:space="preserve">% </w:t>
      </w:r>
      <w:r w:rsidR="0047783A" w:rsidRPr="00AA59D0">
        <w:rPr>
          <w:rFonts w:ascii="Times New Roman" w:hAnsi="Times New Roman"/>
          <w:sz w:val="22"/>
          <w:szCs w:val="22"/>
        </w:rPr>
        <w:t xml:space="preserve">of the </w:t>
      </w:r>
      <w:r w:rsidR="001E2362" w:rsidRPr="00AA59D0">
        <w:rPr>
          <w:rFonts w:ascii="Times New Roman" w:hAnsi="Times New Roman"/>
          <w:sz w:val="22"/>
          <w:szCs w:val="22"/>
        </w:rPr>
        <w:t xml:space="preserve">total </w:t>
      </w:r>
      <w:r w:rsidR="00B2529B" w:rsidRPr="00AA59D0">
        <w:rPr>
          <w:rFonts w:ascii="Times New Roman" w:hAnsi="Times New Roman"/>
          <w:sz w:val="22"/>
          <w:szCs w:val="22"/>
        </w:rPr>
        <w:t>c</w:t>
      </w:r>
      <w:r w:rsidR="0097513D" w:rsidRPr="00AA59D0">
        <w:rPr>
          <w:rFonts w:ascii="Times New Roman" w:hAnsi="Times New Roman"/>
          <w:sz w:val="22"/>
          <w:szCs w:val="22"/>
        </w:rPr>
        <w:t>ontract</w:t>
      </w:r>
      <w:r w:rsidR="0047783A" w:rsidRPr="00AA59D0">
        <w:rPr>
          <w:rFonts w:ascii="Times New Roman" w:hAnsi="Times New Roman"/>
          <w:sz w:val="22"/>
          <w:szCs w:val="22"/>
        </w:rPr>
        <w:t xml:space="preserve"> </w:t>
      </w:r>
      <w:r w:rsidR="001E2362" w:rsidRPr="00AA59D0">
        <w:rPr>
          <w:rFonts w:ascii="Times New Roman" w:hAnsi="Times New Roman"/>
          <w:sz w:val="22"/>
          <w:szCs w:val="22"/>
        </w:rPr>
        <w:t>price</w:t>
      </w:r>
      <w:r w:rsidR="00637C8F" w:rsidRPr="00AA59D0">
        <w:rPr>
          <w:rFonts w:ascii="Times New Roman" w:hAnsi="Times New Roman"/>
          <w:sz w:val="22"/>
          <w:szCs w:val="22"/>
        </w:rPr>
        <w:t>,</w:t>
      </w:r>
      <w:r w:rsidR="0047783A" w:rsidRPr="00AA59D0">
        <w:rPr>
          <w:rFonts w:ascii="Times New Roman" w:hAnsi="Times New Roman"/>
          <w:sz w:val="22"/>
          <w:szCs w:val="22"/>
        </w:rPr>
        <w:t xml:space="preserve"> </w:t>
      </w:r>
      <w:r w:rsidR="00637C8F" w:rsidRPr="00AA59D0">
        <w:rPr>
          <w:rFonts w:ascii="Times New Roman" w:hAnsi="Times New Roman"/>
          <w:sz w:val="22"/>
          <w:szCs w:val="22"/>
        </w:rPr>
        <w:t xml:space="preserve">including any amounts stipulated in addenda to the </w:t>
      </w:r>
      <w:r w:rsidR="00B2529B" w:rsidRPr="00AA59D0">
        <w:rPr>
          <w:rFonts w:ascii="Times New Roman" w:hAnsi="Times New Roman"/>
          <w:sz w:val="22"/>
          <w:szCs w:val="22"/>
        </w:rPr>
        <w:t>c</w:t>
      </w:r>
      <w:r w:rsidR="00637C8F" w:rsidRPr="00AA59D0">
        <w:rPr>
          <w:rFonts w:ascii="Times New Roman" w:hAnsi="Times New Roman"/>
          <w:sz w:val="22"/>
          <w:szCs w:val="22"/>
        </w:rPr>
        <w:t>ontract</w:t>
      </w:r>
      <w:r w:rsidR="0047783A" w:rsidRPr="00AA59D0">
        <w:rPr>
          <w:rFonts w:ascii="Times New Roman" w:hAnsi="Times New Roman"/>
          <w:sz w:val="22"/>
          <w:szCs w:val="22"/>
        </w:rPr>
        <w:t>.</w:t>
      </w:r>
    </w:p>
    <w:p w14:paraId="6D9767D2"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7"/>
    </w:p>
    <w:p w14:paraId="1806A646" w14:textId="178221F4" w:rsidR="00F51D3D" w:rsidRPr="00AA59D0" w:rsidRDefault="003D6B6C" w:rsidP="00AA59D0">
      <w:pPr>
        <w:ind w:left="1843" w:hanging="1843"/>
        <w:jc w:val="both"/>
        <w:rPr>
          <w:rFonts w:ascii="Times New Roman" w:hAnsi="Times New Roman"/>
          <w:color w:val="222222"/>
          <w:sz w:val="22"/>
          <w:szCs w:val="22"/>
          <w:lang w:val="en"/>
        </w:rPr>
      </w:pPr>
      <w:r>
        <w:rPr>
          <w:rFonts w:ascii="Times New Roman" w:hAnsi="Times New Roman"/>
          <w:sz w:val="22"/>
          <w:szCs w:val="22"/>
        </w:rPr>
        <w:t>12.2</w:t>
      </w:r>
      <w:r w:rsidR="001020D9">
        <w:rPr>
          <w:rFonts w:ascii="Times New Roman" w:hAnsi="Times New Roman"/>
          <w:sz w:val="22"/>
          <w:szCs w:val="22"/>
        </w:rPr>
        <w:t>(</w:t>
      </w:r>
      <w:r w:rsidR="00F51D3D" w:rsidRPr="003D6B6C">
        <w:rPr>
          <w:rFonts w:ascii="Times New Roman" w:hAnsi="Times New Roman"/>
          <w:sz w:val="22"/>
          <w:szCs w:val="22"/>
        </w:rPr>
        <w:t>b), paragraph 2</w:t>
      </w:r>
      <w:r>
        <w:rPr>
          <w:rFonts w:ascii="Times New Roman" w:hAnsi="Times New Roman"/>
          <w:sz w:val="22"/>
          <w:szCs w:val="22"/>
        </w:rPr>
        <w:tab/>
      </w:r>
      <w:r w:rsidR="00F51D3D" w:rsidRPr="00AA59D0">
        <w:rPr>
          <w:rFonts w:ascii="Times New Roman" w:hAnsi="Times New Roman"/>
          <w:color w:val="222222"/>
          <w:sz w:val="22"/>
          <w:szCs w:val="22"/>
          <w:lang w:val="en"/>
        </w:rPr>
        <w:t xml:space="preserve"> The question of the exte</w:t>
      </w:r>
      <w:r w:rsidR="00E76535" w:rsidRPr="00AA59D0">
        <w:rPr>
          <w:rFonts w:ascii="Times New Roman" w:hAnsi="Times New Roman"/>
          <w:color w:val="222222"/>
          <w:sz w:val="22"/>
          <w:szCs w:val="22"/>
          <w:lang w:val="en"/>
        </w:rPr>
        <w:t xml:space="preserve">nt of the risks assumed by the </w:t>
      </w:r>
      <w:r w:rsidR="00B2529B" w:rsidRPr="00AA59D0">
        <w:rPr>
          <w:rFonts w:ascii="Times New Roman" w:hAnsi="Times New Roman"/>
          <w:color w:val="222222"/>
          <w:sz w:val="22"/>
          <w:szCs w:val="22"/>
          <w:lang w:val="en"/>
        </w:rPr>
        <w:t>c</w:t>
      </w:r>
      <w:r w:rsidR="00E76535" w:rsidRPr="00AA59D0">
        <w:rPr>
          <w:rFonts w:ascii="Times New Roman" w:hAnsi="Times New Roman"/>
          <w:color w:val="222222"/>
          <w:sz w:val="22"/>
          <w:szCs w:val="22"/>
          <w:lang w:val="en"/>
        </w:rPr>
        <w:t>ontractor (</w:t>
      </w:r>
      <w:r w:rsidR="00F51D3D" w:rsidRPr="00AA59D0">
        <w:rPr>
          <w:rFonts w:ascii="Times New Roman" w:hAnsi="Times New Roman"/>
          <w:color w:val="222222"/>
          <w:sz w:val="22"/>
          <w:szCs w:val="22"/>
          <w:lang w:val="en"/>
        </w:rPr>
        <w:t xml:space="preserve">seller) depends in particular on </w:t>
      </w:r>
      <w:r w:rsidR="00E76535" w:rsidRPr="00AA59D0">
        <w:rPr>
          <w:rFonts w:ascii="Times New Roman" w:hAnsi="Times New Roman"/>
          <w:color w:val="222222"/>
          <w:sz w:val="22"/>
          <w:szCs w:val="22"/>
          <w:lang w:val="en"/>
        </w:rPr>
        <w:t xml:space="preserve">the </w:t>
      </w:r>
      <w:r w:rsidR="00F51D3D" w:rsidRPr="00AA59D0">
        <w:rPr>
          <w:rFonts w:ascii="Times New Roman" w:hAnsi="Times New Roman"/>
          <w:color w:val="222222"/>
          <w:sz w:val="22"/>
          <w:szCs w:val="22"/>
          <w:lang w:val="en"/>
        </w:rPr>
        <w:t>Incoter</w:t>
      </w:r>
      <w:r w:rsidR="00E76535" w:rsidRPr="00AA59D0">
        <w:rPr>
          <w:rFonts w:ascii="Times New Roman" w:hAnsi="Times New Roman"/>
          <w:color w:val="222222"/>
          <w:sz w:val="22"/>
          <w:szCs w:val="22"/>
          <w:lang w:val="en"/>
        </w:rPr>
        <w:t>ms used</w:t>
      </w:r>
      <w:r w:rsidR="00F51D3D" w:rsidRPr="00AA59D0">
        <w:rPr>
          <w:rFonts w:ascii="Times New Roman" w:hAnsi="Times New Roman"/>
          <w:color w:val="222222"/>
          <w:sz w:val="22"/>
          <w:szCs w:val="22"/>
          <w:lang w:val="en"/>
        </w:rPr>
        <w:t>:</w:t>
      </w:r>
    </w:p>
    <w:p w14:paraId="52257E74" w14:textId="77777777" w:rsidR="00E76535" w:rsidRPr="00AA59D0" w:rsidRDefault="00E76535" w:rsidP="003D6B6C">
      <w:pPr>
        <w:pStyle w:val="Default"/>
        <w:numPr>
          <w:ilvl w:val="0"/>
          <w:numId w:val="22"/>
        </w:numPr>
        <w:ind w:left="2268"/>
        <w:jc w:val="both"/>
        <w:rPr>
          <w:sz w:val="22"/>
          <w:szCs w:val="22"/>
        </w:rPr>
      </w:pPr>
      <w:r w:rsidRPr="00AA59D0">
        <w:rPr>
          <w:b/>
          <w:i/>
          <w:iCs/>
          <w:sz w:val="22"/>
          <w:szCs w:val="22"/>
        </w:rPr>
        <w:t>DDP - Delivered Duty Paid</w:t>
      </w:r>
      <w:r w:rsidRPr="00AA59D0">
        <w:rPr>
          <w:i/>
          <w:iCs/>
          <w:sz w:val="22"/>
          <w:szCs w:val="22"/>
        </w:rPr>
        <w:t xml:space="preserve">: </w:t>
      </w:r>
      <w:r w:rsidRPr="00AA59D0">
        <w:rPr>
          <w:color w:val="222222"/>
          <w:sz w:val="22"/>
          <w:szCs w:val="22"/>
          <w:lang w:val="en"/>
        </w:rPr>
        <w:t>Incoterm which i</w:t>
      </w:r>
      <w:r w:rsidR="0045678B" w:rsidRPr="00AA59D0">
        <w:rPr>
          <w:color w:val="222222"/>
          <w:sz w:val="22"/>
          <w:szCs w:val="22"/>
          <w:lang w:val="en"/>
        </w:rPr>
        <w:t>mpos</w:t>
      </w:r>
      <w:r w:rsidRPr="00AA59D0">
        <w:rPr>
          <w:color w:val="222222"/>
          <w:sz w:val="22"/>
          <w:szCs w:val="22"/>
          <w:lang w:val="en"/>
        </w:rPr>
        <w:t xml:space="preserve">es </w:t>
      </w:r>
      <w:r w:rsidR="0045678B" w:rsidRPr="00AA59D0">
        <w:rPr>
          <w:color w:val="222222"/>
          <w:sz w:val="22"/>
          <w:szCs w:val="22"/>
          <w:lang w:val="en"/>
        </w:rPr>
        <w:t xml:space="preserve">on </w:t>
      </w:r>
      <w:r w:rsidRPr="00AA59D0">
        <w:rPr>
          <w:color w:val="222222"/>
          <w:sz w:val="22"/>
          <w:szCs w:val="22"/>
          <w:lang w:val="en"/>
        </w:rPr>
        <w:t xml:space="preserve">the </w:t>
      </w:r>
      <w:r w:rsidR="00297C14" w:rsidRPr="00AA59D0">
        <w:rPr>
          <w:color w:val="222222"/>
          <w:sz w:val="22"/>
          <w:szCs w:val="22"/>
          <w:lang w:val="en"/>
        </w:rPr>
        <w:t>seller maximum obligations vis-</w:t>
      </w:r>
      <w:r w:rsidRPr="00AA59D0">
        <w:rPr>
          <w:color w:val="222222"/>
          <w:sz w:val="22"/>
          <w:szCs w:val="22"/>
          <w:lang w:val="en"/>
        </w:rPr>
        <w:t xml:space="preserve">à-vis transportation and loss </w:t>
      </w:r>
      <w:r w:rsidR="0045678B" w:rsidRPr="00AA59D0">
        <w:rPr>
          <w:color w:val="222222"/>
          <w:sz w:val="22"/>
          <w:szCs w:val="22"/>
          <w:lang w:val="en"/>
        </w:rPr>
        <w:t xml:space="preserve">risks </w:t>
      </w:r>
      <w:r w:rsidRPr="00AA59D0">
        <w:rPr>
          <w:color w:val="222222"/>
          <w:sz w:val="22"/>
          <w:szCs w:val="22"/>
          <w:lang w:val="en"/>
        </w:rPr>
        <w:t>and damage associated with the goods</w:t>
      </w:r>
      <w:r w:rsidR="003439C4" w:rsidRPr="00AA59D0">
        <w:rPr>
          <w:color w:val="222222"/>
          <w:sz w:val="22"/>
          <w:szCs w:val="22"/>
          <w:lang w:val="en"/>
        </w:rPr>
        <w:t>:</w:t>
      </w:r>
    </w:p>
    <w:p w14:paraId="03711CBC" w14:textId="77777777" w:rsidR="00EF6552" w:rsidRPr="003D6B6C" w:rsidRDefault="00B2529B" w:rsidP="003D6B6C">
      <w:pPr>
        <w:pStyle w:val="Default"/>
        <w:spacing w:after="120"/>
        <w:ind w:left="2268"/>
        <w:jc w:val="both"/>
        <w:rPr>
          <w:color w:val="222222"/>
          <w:sz w:val="22"/>
          <w:szCs w:val="22"/>
          <w:lang w:val="en"/>
        </w:rPr>
      </w:pPr>
      <w:r w:rsidRPr="00AA59D0">
        <w:rPr>
          <w:i/>
          <w:iCs/>
          <w:sz w:val="22"/>
          <w:szCs w:val="22"/>
        </w:rPr>
        <w:t>‘</w:t>
      </w:r>
      <w:r w:rsidR="00E76535" w:rsidRPr="00AA59D0">
        <w:rPr>
          <w:i/>
          <w:iCs/>
          <w:sz w:val="22"/>
          <w:szCs w:val="22"/>
        </w:rPr>
        <w:t>the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AA59D0">
        <w:rPr>
          <w:i/>
          <w:iCs/>
          <w:sz w:val="22"/>
          <w:szCs w:val="22"/>
        </w:rPr>
        <w:t>’</w:t>
      </w:r>
      <w:r w:rsidR="00297C14" w:rsidRPr="00AA59D0">
        <w:rPr>
          <w:rStyle w:val="FootnoteReference"/>
          <w:i/>
          <w:iCs/>
          <w:sz w:val="22"/>
          <w:szCs w:val="22"/>
        </w:rPr>
        <w:footnoteReference w:id="1"/>
      </w:r>
      <w:r w:rsidR="00EF6552" w:rsidRPr="00AA59D0">
        <w:rPr>
          <w:i/>
          <w:iCs/>
          <w:sz w:val="22"/>
          <w:szCs w:val="22"/>
        </w:rPr>
        <w:t xml:space="preserve"> </w:t>
      </w:r>
      <w:r w:rsidR="00EF6552" w:rsidRPr="00AA59D0">
        <w:rPr>
          <w:color w:val="222222"/>
          <w:sz w:val="22"/>
          <w:szCs w:val="22"/>
          <w:lang w:val="en"/>
        </w:rPr>
        <w:t>Th</w:t>
      </w:r>
      <w:r w:rsidR="008E5F59" w:rsidRPr="00AA59D0">
        <w:rPr>
          <w:color w:val="222222"/>
          <w:sz w:val="22"/>
          <w:szCs w:val="22"/>
          <w:lang w:val="en"/>
        </w:rPr>
        <w:t>e transfer of risks and costs occur</w:t>
      </w:r>
      <w:r w:rsidR="00EF6552" w:rsidRPr="00AA59D0">
        <w:rPr>
          <w:color w:val="222222"/>
          <w:sz w:val="22"/>
          <w:szCs w:val="22"/>
          <w:lang w:val="en"/>
        </w:rPr>
        <w:t xml:space="preserve">s at the place of unloading </w:t>
      </w:r>
      <w:r w:rsidR="008E5F59" w:rsidRPr="00AA59D0">
        <w:rPr>
          <w:color w:val="222222"/>
          <w:sz w:val="22"/>
          <w:szCs w:val="22"/>
          <w:lang w:val="en"/>
        </w:rPr>
        <w:t xml:space="preserve">of </w:t>
      </w:r>
      <w:r w:rsidR="00EF6552" w:rsidRPr="00AA59D0">
        <w:rPr>
          <w:color w:val="222222"/>
          <w:sz w:val="22"/>
          <w:szCs w:val="22"/>
          <w:lang w:val="en"/>
        </w:rPr>
        <w:t xml:space="preserve">the goods at the agreed </w:t>
      </w:r>
      <w:r w:rsidR="008E5F59" w:rsidRPr="00AA59D0">
        <w:rPr>
          <w:color w:val="222222"/>
          <w:sz w:val="22"/>
          <w:szCs w:val="22"/>
          <w:lang w:val="en"/>
        </w:rPr>
        <w:t xml:space="preserve">place of </w:t>
      </w:r>
      <w:r w:rsidR="00EF6552" w:rsidRPr="00AA59D0">
        <w:rPr>
          <w:color w:val="222222"/>
          <w:sz w:val="22"/>
          <w:szCs w:val="22"/>
          <w:lang w:val="en"/>
        </w:rPr>
        <w:t>destination.</w:t>
      </w:r>
    </w:p>
    <w:p w14:paraId="5E988EE7" w14:textId="77777777" w:rsidR="00EB32E9" w:rsidRPr="003D6B6C" w:rsidRDefault="0047783A" w:rsidP="00B34179">
      <w:pPr>
        <w:spacing w:before="240"/>
        <w:ind w:left="1134" w:hanging="1134"/>
        <w:jc w:val="both"/>
        <w:rPr>
          <w:rFonts w:ascii="Times New Roman" w:hAnsi="Times New Roman"/>
          <w:b/>
          <w:sz w:val="24"/>
          <w:szCs w:val="24"/>
        </w:rPr>
      </w:pPr>
      <w:bookmarkStart w:id="8"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8"/>
      <w:r w:rsidR="00EB32E9" w:rsidRPr="003D6B6C">
        <w:rPr>
          <w:rFonts w:ascii="Times New Roman" w:hAnsi="Times New Roman"/>
          <w:b/>
          <w:sz w:val="24"/>
          <w:szCs w:val="24"/>
        </w:rPr>
        <w:t xml:space="preserve"> </w:t>
      </w:r>
    </w:p>
    <w:p w14:paraId="1DAF0B10" w14:textId="1FEE5C05" w:rsidR="0047783A" w:rsidRPr="003D6B6C" w:rsidRDefault="0047783A" w:rsidP="005D03AA">
      <w:pPr>
        <w:ind w:left="1134" w:hanging="709"/>
        <w:jc w:val="both"/>
        <w:rPr>
          <w:rFonts w:ascii="Times New Roman" w:hAnsi="Times New Roman"/>
          <w:sz w:val="22"/>
          <w:szCs w:val="22"/>
        </w:rPr>
      </w:pPr>
      <w:r w:rsidRPr="003D6B6C">
        <w:rPr>
          <w:rFonts w:ascii="Times New Roman" w:hAnsi="Times New Roman"/>
          <w:sz w:val="22"/>
          <w:szCs w:val="22"/>
        </w:rPr>
        <w:lastRenderedPageBreak/>
        <w:t>18.1</w:t>
      </w:r>
      <w:r w:rsidRPr="003D6B6C">
        <w:rPr>
          <w:rFonts w:ascii="Times New Roman" w:hAnsi="Times New Roman"/>
          <w:b/>
          <w:sz w:val="22"/>
          <w:szCs w:val="22"/>
        </w:rPr>
        <w:tab/>
      </w:r>
      <w:r w:rsidR="0023407E" w:rsidRPr="001557F3">
        <w:rPr>
          <w:rFonts w:ascii="Times New Roman" w:hAnsi="Times New Roman"/>
          <w:sz w:val="22"/>
          <w:szCs w:val="22"/>
        </w:rPr>
        <w:t>The implementation of the contract is deemed to commence on the date of signature of the contract by the Contractor. No formal commencement order will be issued to that effect.</w:t>
      </w:r>
      <w:r w:rsidR="0023407E" w:rsidDel="0023407E">
        <w:rPr>
          <w:rFonts w:ascii="Times New Roman" w:hAnsi="Times New Roman"/>
          <w:b/>
          <w:sz w:val="22"/>
          <w:szCs w:val="22"/>
        </w:rPr>
        <w:t xml:space="preserve"> </w:t>
      </w:r>
    </w:p>
    <w:p w14:paraId="2582C917"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9"/>
      <w:r w:rsidRPr="003D6B6C">
        <w:rPr>
          <w:rFonts w:ascii="Times New Roman" w:hAnsi="Times New Roman"/>
          <w:b/>
          <w:sz w:val="24"/>
          <w:szCs w:val="24"/>
        </w:rPr>
        <w:t xml:space="preserve"> of the tasks</w:t>
      </w:r>
    </w:p>
    <w:p w14:paraId="25694ECC" w14:textId="47BDBF34" w:rsidR="0047783A" w:rsidRPr="003D6B6C" w:rsidRDefault="0047783A" w:rsidP="005D03AA">
      <w:pPr>
        <w:ind w:left="1134" w:hanging="709"/>
        <w:jc w:val="both"/>
        <w:rPr>
          <w:rFonts w:ascii="Times New Roman" w:hAnsi="Times New Roman"/>
          <w:b/>
          <w:sz w:val="22"/>
          <w:szCs w:val="22"/>
        </w:rPr>
      </w:pPr>
      <w:r w:rsidRPr="003D6B6C">
        <w:rPr>
          <w:rFonts w:ascii="Times New Roman" w:hAnsi="Times New Roman"/>
          <w:sz w:val="22"/>
          <w:szCs w:val="22"/>
        </w:rPr>
        <w:t>19.1</w:t>
      </w:r>
      <w:r w:rsidRPr="003D6B6C">
        <w:rPr>
          <w:rFonts w:ascii="Times New Roman" w:hAnsi="Times New Roman"/>
          <w:b/>
          <w:sz w:val="22"/>
          <w:szCs w:val="22"/>
        </w:rPr>
        <w:tab/>
      </w:r>
      <w:r w:rsidR="0023407E" w:rsidRPr="00AA59D0">
        <w:rPr>
          <w:rFonts w:ascii="Times New Roman" w:hAnsi="Times New Roman"/>
          <w:bCs/>
          <w:sz w:val="22"/>
          <w:szCs w:val="22"/>
        </w:rPr>
        <w:t xml:space="preserve">The implementation period of the tasks is one hundred </w:t>
      </w:r>
      <w:r w:rsidR="0023407E">
        <w:rPr>
          <w:rFonts w:ascii="Times New Roman" w:hAnsi="Times New Roman"/>
          <w:bCs/>
          <w:sz w:val="22"/>
          <w:szCs w:val="22"/>
        </w:rPr>
        <w:t xml:space="preserve">and </w:t>
      </w:r>
      <w:r w:rsidR="0023407E" w:rsidRPr="00AA59D0">
        <w:rPr>
          <w:rFonts w:ascii="Times New Roman" w:hAnsi="Times New Roman"/>
          <w:bCs/>
          <w:sz w:val="22"/>
          <w:szCs w:val="22"/>
        </w:rPr>
        <w:t>twenty (120) days.</w:t>
      </w:r>
    </w:p>
    <w:p w14:paraId="3356DB17"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11"/>
      <w:r w:rsidRPr="003D6B6C">
        <w:rPr>
          <w:rFonts w:ascii="Times New Roman" w:hAnsi="Times New Roman"/>
          <w:b/>
          <w:sz w:val="24"/>
          <w:szCs w:val="24"/>
        </w:rPr>
        <w:t>Article 25</w:t>
      </w:r>
      <w:r w:rsidRPr="003D6B6C">
        <w:rPr>
          <w:rFonts w:ascii="Times New Roman" w:hAnsi="Times New Roman"/>
          <w:b/>
          <w:sz w:val="24"/>
          <w:szCs w:val="24"/>
        </w:rPr>
        <w:tab/>
        <w:t>Inspection and testing</w:t>
      </w:r>
      <w:bookmarkEnd w:id="10"/>
    </w:p>
    <w:p w14:paraId="261FCAB6" w14:textId="6EB9B339" w:rsidR="0047783A" w:rsidRPr="003D6B6C" w:rsidRDefault="005B0129" w:rsidP="00AA59D0">
      <w:pPr>
        <w:ind w:left="1134" w:hanging="709"/>
        <w:jc w:val="both"/>
        <w:rPr>
          <w:rFonts w:ascii="Times New Roman" w:hAnsi="Times New Roman"/>
          <w:b/>
          <w:sz w:val="22"/>
          <w:szCs w:val="22"/>
        </w:rPr>
      </w:pPr>
      <w:r w:rsidRPr="003D6B6C">
        <w:rPr>
          <w:rFonts w:ascii="Times New Roman" w:hAnsi="Times New Roman"/>
          <w:bCs/>
          <w:sz w:val="22"/>
          <w:szCs w:val="22"/>
        </w:rPr>
        <w:t>25.2</w:t>
      </w:r>
      <w:r w:rsidRPr="003D6B6C">
        <w:rPr>
          <w:rFonts w:ascii="Times New Roman" w:hAnsi="Times New Roman"/>
          <w:bCs/>
          <w:sz w:val="22"/>
          <w:szCs w:val="22"/>
        </w:rPr>
        <w:tab/>
      </w:r>
      <w:r w:rsidR="00002DD5" w:rsidRPr="001557F3">
        <w:rPr>
          <w:rFonts w:ascii="Times New Roman" w:hAnsi="Times New Roman"/>
          <w:sz w:val="22"/>
          <w:szCs w:val="22"/>
        </w:rPr>
        <w:t>The places where the goods are to be inspected and tested in accordance with Article 25 of the General Conditions are the respective addresses of delivery of the goods.</w:t>
      </w:r>
    </w:p>
    <w:p w14:paraId="2CB07B4A"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11"/>
      <w:r w:rsidR="005B0129" w:rsidRPr="003D6B6C">
        <w:rPr>
          <w:rFonts w:ascii="Times New Roman" w:hAnsi="Times New Roman"/>
          <w:b/>
          <w:sz w:val="24"/>
          <w:szCs w:val="24"/>
        </w:rPr>
        <w:t>General principles for payments</w:t>
      </w:r>
    </w:p>
    <w:p w14:paraId="24ACA6F8" w14:textId="6F1DB9E3" w:rsidR="0047783A" w:rsidRPr="003D6B6C" w:rsidRDefault="0047783A" w:rsidP="00AA59D0">
      <w:pPr>
        <w:tabs>
          <w:tab w:val="right" w:pos="9885"/>
        </w:tabs>
        <w:ind w:left="1134" w:hanging="709"/>
        <w:jc w:val="both"/>
        <w:rPr>
          <w:rFonts w:ascii="Times New Roman" w:hAnsi="Times New Roman"/>
          <w:sz w:val="22"/>
          <w:szCs w:val="22"/>
        </w:rPr>
      </w:pPr>
      <w:r w:rsidRPr="003D6B6C">
        <w:rPr>
          <w:rFonts w:ascii="Times New Roman" w:hAnsi="Times New Roman"/>
          <w:sz w:val="22"/>
          <w:szCs w:val="22"/>
        </w:rPr>
        <w:t>26.1</w:t>
      </w:r>
      <w:r w:rsidRPr="003D6B6C">
        <w:rPr>
          <w:rFonts w:ascii="Times New Roman" w:hAnsi="Times New Roman"/>
          <w:sz w:val="22"/>
          <w:szCs w:val="22"/>
        </w:rPr>
        <w:tab/>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be made in</w:t>
      </w:r>
      <w:r w:rsidR="0049293D">
        <w:rPr>
          <w:rFonts w:ascii="Times New Roman" w:hAnsi="Times New Roman"/>
          <w:sz w:val="22"/>
          <w:szCs w:val="22"/>
        </w:rPr>
        <w:t xml:space="preserve"> </w:t>
      </w:r>
      <w:r w:rsidRPr="00AA59D0">
        <w:rPr>
          <w:rFonts w:ascii="Times New Roman" w:hAnsi="Times New Roman"/>
          <w:sz w:val="22"/>
          <w:szCs w:val="22"/>
        </w:rPr>
        <w:t>euro</w:t>
      </w:r>
      <w:r w:rsidR="00AB3AB0" w:rsidRPr="00AA59D0">
        <w:rPr>
          <w:rFonts w:ascii="Times New Roman" w:hAnsi="Times New Roman"/>
          <w:sz w:val="22"/>
          <w:szCs w:val="22"/>
        </w:rPr>
        <w:t>s</w:t>
      </w:r>
    </w:p>
    <w:p w14:paraId="2158FAD0" w14:textId="278CB65D" w:rsidR="00002DD5" w:rsidRDefault="0047783A" w:rsidP="00002DD5">
      <w:pPr>
        <w:ind w:left="1134"/>
        <w:jc w:val="both"/>
        <w:rPr>
          <w:rFonts w:ascii="Times New Roman" w:hAnsi="Times New Roman"/>
          <w:sz w:val="22"/>
          <w:szCs w:val="22"/>
        </w:rPr>
      </w:pPr>
      <w:r w:rsidRPr="003D6B6C">
        <w:rPr>
          <w:rFonts w:ascii="Times New Roman" w:hAnsi="Times New Roman"/>
          <w:sz w:val="22"/>
          <w:szCs w:val="22"/>
        </w:rPr>
        <w:t xml:space="preserve">Payments </w:t>
      </w:r>
      <w:r w:rsidR="005B0129" w:rsidRPr="003D6B6C">
        <w:rPr>
          <w:rFonts w:ascii="Times New Roman" w:hAnsi="Times New Roman"/>
          <w:sz w:val="22"/>
          <w:szCs w:val="22"/>
        </w:rPr>
        <w:t xml:space="preserve">shall </w:t>
      </w:r>
      <w:r w:rsidRPr="003D6B6C">
        <w:rPr>
          <w:rFonts w:ascii="Times New Roman" w:hAnsi="Times New Roman"/>
          <w:sz w:val="22"/>
          <w:szCs w:val="22"/>
        </w:rPr>
        <w:t xml:space="preserve">be authorised and made by </w:t>
      </w:r>
      <w:r w:rsidR="00002DD5">
        <w:rPr>
          <w:rFonts w:ascii="Times New Roman" w:hAnsi="Times New Roman"/>
          <w:sz w:val="22"/>
          <w:szCs w:val="22"/>
        </w:rPr>
        <w:t>t</w:t>
      </w:r>
      <w:r w:rsidR="00002DD5" w:rsidRPr="00002DD5">
        <w:rPr>
          <w:rFonts w:ascii="Times New Roman" w:hAnsi="Times New Roman"/>
          <w:sz w:val="22"/>
          <w:szCs w:val="22"/>
        </w:rPr>
        <w:t>he Regional Authorising Officer</w:t>
      </w:r>
      <w:r w:rsidR="00002DD5">
        <w:rPr>
          <w:rFonts w:ascii="Times New Roman" w:hAnsi="Times New Roman"/>
          <w:sz w:val="22"/>
          <w:szCs w:val="22"/>
        </w:rPr>
        <w:t xml:space="preserve"> of the EDF</w:t>
      </w:r>
      <w:r w:rsidR="00002DD5" w:rsidRPr="00002DD5">
        <w:rPr>
          <w:rFonts w:ascii="Times New Roman" w:hAnsi="Times New Roman"/>
          <w:sz w:val="22"/>
          <w:szCs w:val="22"/>
        </w:rPr>
        <w:t xml:space="preserve">, representing the </w:t>
      </w:r>
      <w:r w:rsidR="00002DD5">
        <w:rPr>
          <w:rFonts w:ascii="Times New Roman" w:hAnsi="Times New Roman"/>
          <w:sz w:val="22"/>
          <w:szCs w:val="22"/>
        </w:rPr>
        <w:t>ECOWAS Commission,</w:t>
      </w:r>
      <w:r w:rsidR="00002DD5" w:rsidRPr="00002DD5">
        <w:t xml:space="preserve"> </w:t>
      </w:r>
      <w:r w:rsidR="00002DD5" w:rsidRPr="00002DD5">
        <w:rPr>
          <w:rFonts w:ascii="Times New Roman" w:hAnsi="Times New Roman"/>
          <w:sz w:val="22"/>
          <w:szCs w:val="22"/>
        </w:rPr>
        <w:t>Plot 101 Yakubu Gowon Crescent,</w:t>
      </w:r>
      <w:r w:rsidR="00002DD5">
        <w:rPr>
          <w:rFonts w:ascii="Times New Roman" w:hAnsi="Times New Roman"/>
          <w:sz w:val="22"/>
          <w:szCs w:val="22"/>
        </w:rPr>
        <w:t xml:space="preserve"> Asokoro, Abuja, NIGERIA</w:t>
      </w:r>
    </w:p>
    <w:p w14:paraId="3A2CEE26" w14:textId="7D402CCD" w:rsidR="00BD2F43" w:rsidRPr="003D6B6C" w:rsidRDefault="00002DD5" w:rsidP="00833EBD">
      <w:pPr>
        <w:ind w:left="1134" w:hanging="709"/>
        <w:jc w:val="both"/>
        <w:rPr>
          <w:rFonts w:ascii="Times New Roman" w:hAnsi="Times New Roman"/>
          <w:sz w:val="22"/>
          <w:szCs w:val="22"/>
        </w:rPr>
      </w:pPr>
      <w:r w:rsidRPr="003D6B6C" w:rsidDel="00002DD5">
        <w:rPr>
          <w:rFonts w:ascii="Times New Roman" w:hAnsi="Times New Roman"/>
          <w:sz w:val="22"/>
          <w:szCs w:val="22"/>
        </w:rPr>
        <w:t xml:space="preserve"> </w:t>
      </w:r>
      <w:r w:rsidR="006D5CEE" w:rsidRPr="003D6B6C">
        <w:rPr>
          <w:rFonts w:ascii="Times New Roman" w:hAnsi="Times New Roman"/>
          <w:sz w:val="22"/>
          <w:szCs w:val="22"/>
        </w:rPr>
        <w:t>26.</w:t>
      </w:r>
      <w:r w:rsidR="006D5CEE" w:rsidRPr="00AA59D0">
        <w:rPr>
          <w:rFonts w:ascii="Times New Roman" w:hAnsi="Times New Roman"/>
          <w:sz w:val="22"/>
          <w:szCs w:val="22"/>
        </w:rPr>
        <w:t>3</w:t>
      </w:r>
      <w:r w:rsidR="006D5CEE" w:rsidRPr="00AA59D0">
        <w:rPr>
          <w:rFonts w:ascii="Times New Roman" w:hAnsi="Times New Roman"/>
          <w:sz w:val="22"/>
          <w:szCs w:val="22"/>
        </w:rPr>
        <w:tab/>
      </w:r>
      <w:r w:rsidR="00BD2F43" w:rsidRPr="00AA59D0">
        <w:rPr>
          <w:rFonts w:ascii="Times New Roman" w:hAnsi="Times New Roman"/>
          <w:sz w:val="22"/>
          <w:szCs w:val="22"/>
        </w:rPr>
        <w:t xml:space="preserve">By derogation, the pre-financing payments shall be made within 90 days from the date on which an admissible invoice is registered by the </w:t>
      </w:r>
      <w:r w:rsidR="00F60098" w:rsidRPr="00AA59D0">
        <w:rPr>
          <w:rFonts w:ascii="Times New Roman" w:hAnsi="Times New Roman"/>
          <w:sz w:val="22"/>
          <w:szCs w:val="22"/>
        </w:rPr>
        <w:t>c</w:t>
      </w:r>
      <w:r w:rsidR="00BD2F43" w:rsidRPr="00AA59D0">
        <w:rPr>
          <w:rFonts w:ascii="Times New Roman" w:hAnsi="Times New Roman"/>
          <w:sz w:val="22"/>
          <w:szCs w:val="22"/>
        </w:rPr>
        <w:t xml:space="preserve">ontracting </w:t>
      </w:r>
      <w:r w:rsidR="00F60098" w:rsidRPr="00AA59D0">
        <w:rPr>
          <w:rFonts w:ascii="Times New Roman" w:hAnsi="Times New Roman"/>
          <w:sz w:val="22"/>
          <w:szCs w:val="22"/>
        </w:rPr>
        <w:t>a</w:t>
      </w:r>
      <w:r w:rsidR="00BD2F43" w:rsidRPr="00AA59D0">
        <w:rPr>
          <w:rFonts w:ascii="Times New Roman" w:hAnsi="Times New Roman"/>
          <w:sz w:val="22"/>
          <w:szCs w:val="22"/>
        </w:rPr>
        <w:t xml:space="preserve">uthority. The final payment to the </w:t>
      </w:r>
      <w:r w:rsidR="00F60098" w:rsidRPr="00AA59D0">
        <w:rPr>
          <w:rFonts w:ascii="Times New Roman" w:hAnsi="Times New Roman"/>
          <w:sz w:val="22"/>
          <w:szCs w:val="22"/>
        </w:rPr>
        <w:t>c</w:t>
      </w:r>
      <w:r w:rsidR="00BD2F43" w:rsidRPr="00AA59D0">
        <w:rPr>
          <w:rFonts w:ascii="Times New Roman" w:hAnsi="Times New Roman"/>
          <w:sz w:val="22"/>
          <w:szCs w:val="22"/>
        </w:rPr>
        <w:t xml:space="preserve">ontractor of the amounts due shall be made within 90 days following provisional acceptance of the goods, after receipt by the </w:t>
      </w:r>
      <w:r w:rsidR="00F60098" w:rsidRPr="00AA59D0">
        <w:rPr>
          <w:rFonts w:ascii="Times New Roman" w:hAnsi="Times New Roman"/>
          <w:sz w:val="22"/>
          <w:szCs w:val="22"/>
        </w:rPr>
        <w:t>c</w:t>
      </w:r>
      <w:r w:rsidR="00BD2F43" w:rsidRPr="00AA59D0">
        <w:rPr>
          <w:rFonts w:ascii="Times New Roman" w:hAnsi="Times New Roman"/>
          <w:sz w:val="22"/>
          <w:szCs w:val="22"/>
        </w:rPr>
        <w:t xml:space="preserve">ontracting </w:t>
      </w:r>
      <w:r w:rsidR="00F60098" w:rsidRPr="00AA59D0">
        <w:rPr>
          <w:rFonts w:ascii="Times New Roman" w:hAnsi="Times New Roman"/>
          <w:sz w:val="22"/>
          <w:szCs w:val="22"/>
        </w:rPr>
        <w:t>a</w:t>
      </w:r>
      <w:r w:rsidR="00BD2F43" w:rsidRPr="00AA59D0">
        <w:rPr>
          <w:rFonts w:ascii="Times New Roman" w:hAnsi="Times New Roman"/>
          <w:sz w:val="22"/>
          <w:szCs w:val="22"/>
        </w:rPr>
        <w:t>uthority of an admissible invoice.</w:t>
      </w:r>
    </w:p>
    <w:p w14:paraId="70542AFE" w14:textId="77777777"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ontractor must forward to the authority referred to in paragraph 26.1 above:</w:t>
      </w:r>
    </w:p>
    <w:p w14:paraId="680235C7" w14:textId="16FCFF3B" w:rsidR="00E87734" w:rsidRPr="00AA59D0" w:rsidRDefault="00035D61" w:rsidP="00B9316C">
      <w:pPr>
        <w:ind w:left="1560" w:hanging="426"/>
        <w:jc w:val="both"/>
        <w:rPr>
          <w:rFonts w:ascii="Times New Roman" w:hAnsi="Times New Roman"/>
          <w:sz w:val="22"/>
          <w:szCs w:val="22"/>
        </w:rPr>
      </w:pPr>
      <w:r w:rsidRPr="003D6B6C">
        <w:rPr>
          <w:rFonts w:ascii="Times New Roman" w:hAnsi="Times New Roman"/>
          <w:sz w:val="22"/>
          <w:szCs w:val="22"/>
        </w:rPr>
        <w:t>a)</w:t>
      </w:r>
      <w:r w:rsidRPr="003D6B6C">
        <w:rPr>
          <w:rFonts w:ascii="Times New Roman" w:hAnsi="Times New Roman"/>
          <w:b/>
          <w:sz w:val="22"/>
          <w:szCs w:val="22"/>
        </w:rPr>
        <w:tab/>
      </w:r>
      <w:r w:rsidR="006219A1" w:rsidRPr="001F24F0">
        <w:rPr>
          <w:rFonts w:ascii="Times New Roman" w:hAnsi="Times New Roman"/>
          <w:sz w:val="22"/>
          <w:szCs w:val="22"/>
        </w:rPr>
        <w:t>For the 40% pre-</w:t>
      </w:r>
      <w:r w:rsidR="006219A1" w:rsidRPr="00AA59D0">
        <w:rPr>
          <w:rFonts w:ascii="Times New Roman" w:hAnsi="Times New Roman"/>
          <w:sz w:val="22"/>
          <w:szCs w:val="22"/>
        </w:rPr>
        <w:t xml:space="preserve">financing, </w:t>
      </w:r>
      <w:r w:rsidR="006219A1" w:rsidRPr="00AA59D0">
        <w:rPr>
          <w:rFonts w:ascii="Times New Roman" w:hAnsi="Times New Roman"/>
          <w:bCs/>
          <w:sz w:val="22"/>
          <w:szCs w:val="22"/>
        </w:rPr>
        <w:t>the pre-financing guarantee</w:t>
      </w:r>
      <w:r w:rsidR="00002DD5" w:rsidRPr="00AA59D0">
        <w:rPr>
          <w:rFonts w:ascii="Times New Roman" w:hAnsi="Times New Roman"/>
          <w:sz w:val="22"/>
          <w:szCs w:val="22"/>
        </w:rPr>
        <w:t xml:space="preserve"> </w:t>
      </w:r>
    </w:p>
    <w:p w14:paraId="1420E1DE" w14:textId="70B09871" w:rsidR="0047783A" w:rsidRPr="003D6B6C" w:rsidRDefault="0047783A" w:rsidP="00AA59D0">
      <w:pPr>
        <w:spacing w:after="0"/>
        <w:ind w:left="1559" w:hanging="425"/>
        <w:jc w:val="both"/>
        <w:rPr>
          <w:rFonts w:ascii="Times New Roman" w:hAnsi="Times New Roman"/>
          <w:b/>
          <w:sz w:val="22"/>
          <w:szCs w:val="22"/>
        </w:rPr>
      </w:pPr>
      <w:r w:rsidRPr="00AA59D0">
        <w:rPr>
          <w:rFonts w:ascii="Times New Roman" w:hAnsi="Times New Roman"/>
          <w:sz w:val="22"/>
          <w:szCs w:val="22"/>
        </w:rPr>
        <w:t>b)</w:t>
      </w:r>
      <w:r w:rsidRPr="00AA59D0">
        <w:rPr>
          <w:rFonts w:ascii="Times New Roman" w:hAnsi="Times New Roman"/>
          <w:b/>
          <w:sz w:val="22"/>
          <w:szCs w:val="22"/>
        </w:rPr>
        <w:tab/>
      </w:r>
      <w:r w:rsidRPr="00AA59D0">
        <w:rPr>
          <w:rFonts w:ascii="Times New Roman" w:hAnsi="Times New Roman"/>
          <w:sz w:val="22"/>
          <w:szCs w:val="22"/>
        </w:rPr>
        <w:t xml:space="preserve">For the </w:t>
      </w:r>
      <w:r w:rsidR="00441859" w:rsidRPr="00AA59D0">
        <w:rPr>
          <w:rFonts w:ascii="Times New Roman" w:hAnsi="Times New Roman"/>
          <w:sz w:val="22"/>
          <w:szCs w:val="22"/>
        </w:rPr>
        <w:t>6</w:t>
      </w:r>
      <w:r w:rsidRPr="00AA59D0">
        <w:rPr>
          <w:rFonts w:ascii="Times New Roman" w:hAnsi="Times New Roman"/>
          <w:sz w:val="22"/>
          <w:szCs w:val="22"/>
        </w:rPr>
        <w:t>0</w:t>
      </w:r>
      <w:r w:rsidR="006A5F84" w:rsidRPr="00AA59D0">
        <w:rPr>
          <w:rFonts w:ascii="Times New Roman" w:hAnsi="Times New Roman"/>
          <w:w w:val="50"/>
          <w:sz w:val="22"/>
          <w:szCs w:val="22"/>
        </w:rPr>
        <w:t> </w:t>
      </w:r>
      <w:r w:rsidRPr="00AA59D0">
        <w:rPr>
          <w:rFonts w:ascii="Times New Roman" w:hAnsi="Times New Roman"/>
          <w:sz w:val="22"/>
          <w:szCs w:val="22"/>
        </w:rPr>
        <w:t>% balance, the invoice(s)</w:t>
      </w:r>
      <w:r w:rsidR="00002DD5">
        <w:rPr>
          <w:rFonts w:ascii="Times New Roman" w:hAnsi="Times New Roman"/>
          <w:sz w:val="22"/>
          <w:szCs w:val="22"/>
        </w:rPr>
        <w:t xml:space="preserve"> </w:t>
      </w:r>
      <w:r w:rsidRPr="00AA59D0">
        <w:rPr>
          <w:rFonts w:ascii="Times New Roman" w:hAnsi="Times New Roman"/>
          <w:sz w:val="22"/>
          <w:szCs w:val="22"/>
        </w:rPr>
        <w:t>in triplicate</w:t>
      </w:r>
      <w:r w:rsidRPr="003D6B6C">
        <w:rPr>
          <w:rFonts w:ascii="Times New Roman" w:hAnsi="Times New Roman"/>
          <w:sz w:val="22"/>
          <w:szCs w:val="22"/>
        </w:rPr>
        <w:t xml:space="preserve"> </w:t>
      </w:r>
      <w:r w:rsidR="00925DBE" w:rsidRPr="003D6B6C">
        <w:rPr>
          <w:rFonts w:ascii="Times New Roman" w:hAnsi="Times New Roman"/>
          <w:sz w:val="22"/>
          <w:szCs w:val="22"/>
        </w:rPr>
        <w:t xml:space="preserve">together with the request for </w:t>
      </w:r>
      <w:r w:rsidRPr="003D6B6C">
        <w:rPr>
          <w:rFonts w:ascii="Times New Roman" w:hAnsi="Times New Roman"/>
          <w:sz w:val="22"/>
          <w:szCs w:val="22"/>
        </w:rPr>
        <w:t>provisional acceptance of the supplies.</w:t>
      </w:r>
    </w:p>
    <w:p w14:paraId="4C85C695"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13"/>
      <w:r w:rsidRPr="003D6B6C">
        <w:rPr>
          <w:rFonts w:ascii="Times New Roman" w:hAnsi="Times New Roman"/>
          <w:b/>
          <w:sz w:val="24"/>
          <w:szCs w:val="24"/>
        </w:rPr>
        <w:t>Article 28</w:t>
      </w:r>
      <w:r w:rsidRPr="003D6B6C">
        <w:rPr>
          <w:rFonts w:ascii="Times New Roman" w:hAnsi="Times New Roman"/>
          <w:b/>
          <w:sz w:val="24"/>
          <w:szCs w:val="24"/>
        </w:rPr>
        <w:tab/>
        <w:t>Delayed payments</w:t>
      </w:r>
    </w:p>
    <w:p w14:paraId="427EC386" w14:textId="5AFAF421" w:rsidR="0047783A" w:rsidRPr="003D6B6C" w:rsidRDefault="0047783A" w:rsidP="00AA59D0">
      <w:pPr>
        <w:autoSpaceDE w:val="0"/>
        <w:autoSpaceDN w:val="0"/>
        <w:adjustRightInd w:val="0"/>
        <w:ind w:left="1134" w:hanging="709"/>
        <w:jc w:val="both"/>
        <w:rPr>
          <w:rFonts w:ascii="Times New Roman" w:hAnsi="Times New Roman"/>
          <w:snapToGrid/>
          <w:sz w:val="22"/>
          <w:szCs w:val="22"/>
          <w:lang w:eastAsia="en-GB"/>
        </w:rPr>
      </w:pPr>
      <w:r w:rsidRPr="003D6B6C">
        <w:rPr>
          <w:rFonts w:ascii="Times New Roman" w:hAnsi="Times New Roman"/>
          <w:sz w:val="22"/>
          <w:szCs w:val="22"/>
        </w:rPr>
        <w:t>28.</w:t>
      </w:r>
      <w:r w:rsidR="00866B17" w:rsidRPr="003D6B6C">
        <w:rPr>
          <w:rFonts w:ascii="Times New Roman" w:hAnsi="Times New Roman"/>
          <w:sz w:val="22"/>
          <w:szCs w:val="22"/>
        </w:rPr>
        <w:t>2</w:t>
      </w:r>
      <w:r w:rsidRPr="003D6B6C">
        <w:rPr>
          <w:rFonts w:ascii="Times New Roman" w:hAnsi="Times New Roman"/>
          <w:b/>
          <w:sz w:val="22"/>
          <w:szCs w:val="22"/>
        </w:rPr>
        <w:tab/>
      </w:r>
      <w:r w:rsidRPr="00AA59D0">
        <w:rPr>
          <w:rFonts w:ascii="Times New Roman" w:hAnsi="Times New Roman"/>
          <w:snapToGrid/>
          <w:sz w:val="22"/>
          <w:szCs w:val="22"/>
          <w:lang w:eastAsia="en-GB"/>
        </w:rPr>
        <w:t xml:space="preserve">By derogation from Article 28.2 of the </w:t>
      </w:r>
      <w:r w:rsidR="00F60098" w:rsidRPr="00AA59D0">
        <w:rPr>
          <w:rFonts w:ascii="Times New Roman" w:hAnsi="Times New Roman"/>
          <w:snapToGrid/>
          <w:sz w:val="22"/>
          <w:szCs w:val="22"/>
          <w:lang w:eastAsia="en-GB"/>
        </w:rPr>
        <w:t>g</w:t>
      </w:r>
      <w:r w:rsidRPr="00AA59D0">
        <w:rPr>
          <w:rFonts w:ascii="Times New Roman" w:hAnsi="Times New Roman"/>
          <w:snapToGrid/>
          <w:sz w:val="22"/>
          <w:szCs w:val="22"/>
          <w:lang w:eastAsia="en-GB"/>
        </w:rPr>
        <w:t xml:space="preserve">eneral </w:t>
      </w:r>
      <w:r w:rsidR="00F60098" w:rsidRPr="00AA59D0">
        <w:rPr>
          <w:rFonts w:ascii="Times New Roman" w:hAnsi="Times New Roman"/>
          <w:snapToGrid/>
          <w:sz w:val="22"/>
          <w:szCs w:val="22"/>
          <w:lang w:eastAsia="en-GB"/>
        </w:rPr>
        <w:t>c</w:t>
      </w:r>
      <w:r w:rsidRPr="00AA59D0">
        <w:rPr>
          <w:rFonts w:ascii="Times New Roman" w:hAnsi="Times New Roman"/>
          <w:snapToGrid/>
          <w:sz w:val="22"/>
          <w:szCs w:val="22"/>
          <w:lang w:eastAsia="en-GB"/>
        </w:rPr>
        <w:t>onditions, o</w:t>
      </w:r>
      <w:r w:rsidRPr="00AA59D0">
        <w:rPr>
          <w:rFonts w:ascii="Times New Roman" w:hAnsi="Times New Roman"/>
          <w:sz w:val="22"/>
          <w:szCs w:val="22"/>
        </w:rPr>
        <w:t>nce the deadline laid down in Article 2</w:t>
      </w:r>
      <w:r w:rsidR="00D83918" w:rsidRPr="00AA59D0">
        <w:rPr>
          <w:rFonts w:ascii="Times New Roman" w:hAnsi="Times New Roman"/>
          <w:sz w:val="22"/>
          <w:szCs w:val="22"/>
        </w:rPr>
        <w:t>6.3</w:t>
      </w:r>
      <w:r w:rsidRPr="00AA59D0">
        <w:rPr>
          <w:rFonts w:ascii="Times New Roman" w:hAnsi="Times New Roman"/>
          <w:sz w:val="22"/>
          <w:szCs w:val="22"/>
        </w:rPr>
        <w:t xml:space="preserve"> has expired, the </w:t>
      </w:r>
      <w:r w:rsidR="00F60098" w:rsidRPr="00AA59D0">
        <w:rPr>
          <w:rFonts w:ascii="Times New Roman" w:hAnsi="Times New Roman"/>
          <w:sz w:val="22"/>
          <w:szCs w:val="22"/>
        </w:rPr>
        <w:t>c</w:t>
      </w:r>
      <w:r w:rsidRPr="00AA59D0">
        <w:rPr>
          <w:rFonts w:ascii="Times New Roman" w:hAnsi="Times New Roman"/>
          <w:sz w:val="22"/>
          <w:szCs w:val="22"/>
        </w:rPr>
        <w:t xml:space="preserve">ontractor </w:t>
      </w:r>
      <w:r w:rsidR="00551543" w:rsidRPr="00AA59D0">
        <w:rPr>
          <w:rFonts w:ascii="Times New Roman" w:hAnsi="Times New Roman"/>
          <w:sz w:val="22"/>
          <w:szCs w:val="22"/>
        </w:rPr>
        <w:t>sha</w:t>
      </w:r>
      <w:r w:rsidR="006D3BA1" w:rsidRPr="00AA59D0">
        <w:rPr>
          <w:rFonts w:ascii="Times New Roman" w:hAnsi="Times New Roman"/>
          <w:sz w:val="22"/>
          <w:szCs w:val="22"/>
        </w:rPr>
        <w:t>ll,</w:t>
      </w:r>
      <w:r w:rsidRPr="00AA59D0">
        <w:rPr>
          <w:rFonts w:ascii="Times New Roman" w:hAnsi="Times New Roman"/>
          <w:sz w:val="22"/>
          <w:szCs w:val="22"/>
        </w:rPr>
        <w:t xml:space="preserve"> upon demand, </w:t>
      </w:r>
      <w:r w:rsidR="006D3BA1" w:rsidRPr="00AA59D0">
        <w:rPr>
          <w:rFonts w:ascii="Times New Roman" w:hAnsi="Times New Roman"/>
          <w:sz w:val="22"/>
          <w:szCs w:val="22"/>
        </w:rPr>
        <w:t xml:space="preserve">be entitled to late-payment interest </w:t>
      </w:r>
      <w:r w:rsidR="00117ADA" w:rsidRPr="00AA59D0">
        <w:rPr>
          <w:rFonts w:ascii="Times New Roman" w:hAnsi="Times New Roman"/>
          <w:sz w:val="22"/>
          <w:szCs w:val="22"/>
        </w:rPr>
        <w:t xml:space="preserve">at the rate and for the period mentioned in the </w:t>
      </w:r>
      <w:r w:rsidR="00F60098" w:rsidRPr="00AA59D0">
        <w:rPr>
          <w:rFonts w:ascii="Times New Roman" w:hAnsi="Times New Roman"/>
          <w:sz w:val="22"/>
          <w:szCs w:val="22"/>
        </w:rPr>
        <w:t>g</w:t>
      </w:r>
      <w:r w:rsidR="00117ADA" w:rsidRPr="00AA59D0">
        <w:rPr>
          <w:rFonts w:ascii="Times New Roman" w:hAnsi="Times New Roman"/>
          <w:sz w:val="22"/>
          <w:szCs w:val="22"/>
        </w:rPr>
        <w:t xml:space="preserve">eneral </w:t>
      </w:r>
      <w:r w:rsidR="00F60098" w:rsidRPr="00AA59D0">
        <w:rPr>
          <w:rFonts w:ascii="Times New Roman" w:hAnsi="Times New Roman"/>
          <w:sz w:val="22"/>
          <w:szCs w:val="22"/>
        </w:rPr>
        <w:t>c</w:t>
      </w:r>
      <w:r w:rsidR="00117ADA" w:rsidRPr="00AA59D0">
        <w:rPr>
          <w:rFonts w:ascii="Times New Roman" w:hAnsi="Times New Roman"/>
          <w:sz w:val="22"/>
          <w:szCs w:val="22"/>
        </w:rPr>
        <w:t>onditions</w:t>
      </w:r>
      <w:r w:rsidR="006D3BA1" w:rsidRPr="00AA59D0">
        <w:rPr>
          <w:rFonts w:ascii="Times New Roman" w:hAnsi="Times New Roman"/>
          <w:sz w:val="22"/>
          <w:szCs w:val="22"/>
        </w:rPr>
        <w:t xml:space="preserve">. The demand must be </w:t>
      </w:r>
      <w:r w:rsidRPr="00AA59D0">
        <w:rPr>
          <w:rFonts w:ascii="Times New Roman" w:hAnsi="Times New Roman"/>
          <w:sz w:val="22"/>
          <w:szCs w:val="22"/>
        </w:rPr>
        <w:t>submitted within two months of receiving late payment.</w:t>
      </w:r>
    </w:p>
    <w:p w14:paraId="141FC479" w14:textId="77777777" w:rsidR="0047783A" w:rsidRPr="003D6B6C" w:rsidRDefault="0047783A" w:rsidP="00B3417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29</w:t>
      </w:r>
      <w:r w:rsidRPr="003D6B6C">
        <w:rPr>
          <w:rFonts w:ascii="Times New Roman" w:hAnsi="Times New Roman"/>
          <w:b/>
          <w:sz w:val="24"/>
          <w:szCs w:val="24"/>
        </w:rPr>
        <w:tab/>
        <w:t>Delivery</w:t>
      </w:r>
      <w:bookmarkEnd w:id="12"/>
    </w:p>
    <w:p w14:paraId="21C112CD" w14:textId="2F2C5EE6" w:rsidR="0047783A" w:rsidRPr="003D6B6C" w:rsidRDefault="0047783A" w:rsidP="006B145B">
      <w:pPr>
        <w:ind w:left="1134" w:hanging="709"/>
        <w:jc w:val="both"/>
        <w:rPr>
          <w:rFonts w:ascii="Times New Roman" w:hAnsi="Times New Roman"/>
          <w:b/>
          <w:sz w:val="22"/>
          <w:szCs w:val="22"/>
        </w:rPr>
      </w:pPr>
      <w:r w:rsidRPr="003D6B6C">
        <w:rPr>
          <w:rFonts w:ascii="Times New Roman" w:hAnsi="Times New Roman"/>
          <w:sz w:val="22"/>
          <w:szCs w:val="22"/>
        </w:rPr>
        <w:t>29.</w:t>
      </w:r>
      <w:r w:rsidR="005B0129" w:rsidRPr="003D6B6C">
        <w:rPr>
          <w:rFonts w:ascii="Times New Roman" w:hAnsi="Times New Roman"/>
          <w:sz w:val="22"/>
          <w:szCs w:val="22"/>
        </w:rPr>
        <w:t>3</w:t>
      </w:r>
      <w:r w:rsidRPr="003D6B6C">
        <w:rPr>
          <w:rFonts w:ascii="Times New Roman" w:hAnsi="Times New Roman"/>
          <w:b/>
          <w:sz w:val="22"/>
          <w:szCs w:val="22"/>
        </w:rPr>
        <w:tab/>
      </w:r>
      <w:r w:rsidR="00002DD5" w:rsidRPr="00002DD5">
        <w:rPr>
          <w:rFonts w:ascii="Times New Roman" w:hAnsi="Times New Roman"/>
          <w:sz w:val="22"/>
          <w:szCs w:val="22"/>
        </w:rPr>
        <w:t>The Contractor shall bear all risks pertaining to the goods until provisional acceptance at destination. The supplies shall be packaged so as to prevent their damage or deterioration in transit to their destination.</w:t>
      </w:r>
      <w:r w:rsidRPr="003D6B6C">
        <w:rPr>
          <w:rFonts w:ascii="Times New Roman" w:hAnsi="Times New Roman"/>
          <w:sz w:val="22"/>
          <w:szCs w:val="22"/>
        </w:rPr>
        <w:t>&gt;</w:t>
      </w:r>
    </w:p>
    <w:p w14:paraId="06FB08D6" w14:textId="6C8BA683" w:rsidR="0047783A" w:rsidRPr="003D6B6C" w:rsidRDefault="0047783A" w:rsidP="006B145B">
      <w:pPr>
        <w:ind w:left="1134"/>
        <w:jc w:val="both"/>
        <w:rPr>
          <w:rFonts w:ascii="Times New Roman" w:hAnsi="Times New Roman"/>
          <w:sz w:val="22"/>
          <w:szCs w:val="22"/>
        </w:rPr>
      </w:pPr>
      <w:r w:rsidRPr="00AA59D0">
        <w:rPr>
          <w:rFonts w:ascii="Times New Roman" w:hAnsi="Times New Roman"/>
          <w:sz w:val="22"/>
          <w:szCs w:val="22"/>
        </w:rPr>
        <w:t xml:space="preserve">The packaging </w:t>
      </w:r>
      <w:r w:rsidR="00551543" w:rsidRPr="00AA59D0">
        <w:rPr>
          <w:rFonts w:ascii="Times New Roman" w:hAnsi="Times New Roman"/>
          <w:sz w:val="22"/>
          <w:szCs w:val="22"/>
        </w:rPr>
        <w:t>sha</w:t>
      </w:r>
      <w:r w:rsidR="008C4E79" w:rsidRPr="00AA59D0">
        <w:rPr>
          <w:rFonts w:ascii="Times New Roman" w:hAnsi="Times New Roman"/>
          <w:sz w:val="22"/>
          <w:szCs w:val="22"/>
        </w:rPr>
        <w:t>ll</w:t>
      </w:r>
      <w:r w:rsidRPr="00AA59D0">
        <w:rPr>
          <w:rFonts w:ascii="Times New Roman" w:hAnsi="Times New Roman"/>
          <w:sz w:val="22"/>
          <w:szCs w:val="22"/>
        </w:rPr>
        <w:t xml:space="preserve"> become the property of the recipient subject to environment</w:t>
      </w:r>
      <w:r w:rsidR="006D3BA1" w:rsidRPr="00AA59D0">
        <w:rPr>
          <w:rFonts w:ascii="Times New Roman" w:hAnsi="Times New Roman"/>
          <w:sz w:val="22"/>
          <w:szCs w:val="22"/>
        </w:rPr>
        <w:t>al considerations</w:t>
      </w:r>
      <w:r w:rsidRPr="00AA59D0">
        <w:rPr>
          <w:rFonts w:ascii="Times New Roman" w:hAnsi="Times New Roman"/>
          <w:sz w:val="22"/>
          <w:szCs w:val="22"/>
        </w:rPr>
        <w:t>.</w:t>
      </w:r>
    </w:p>
    <w:p w14:paraId="65114C1D" w14:textId="2930DFAE" w:rsidR="0047783A" w:rsidRPr="003D6B6C" w:rsidRDefault="0047783A" w:rsidP="006B145B">
      <w:pPr>
        <w:ind w:left="1134" w:hanging="1134"/>
        <w:jc w:val="both"/>
        <w:rPr>
          <w:rFonts w:ascii="Times New Roman" w:hAnsi="Times New Roman"/>
          <w:sz w:val="22"/>
          <w:szCs w:val="22"/>
        </w:rPr>
      </w:pPr>
      <w:r w:rsidRPr="003D6B6C">
        <w:rPr>
          <w:rFonts w:ascii="Times New Roman" w:hAnsi="Times New Roman"/>
          <w:sz w:val="22"/>
          <w:szCs w:val="22"/>
        </w:rPr>
        <w:t>29.5/6</w:t>
      </w:r>
      <w:r w:rsidR="0041345E" w:rsidRPr="003D6B6C">
        <w:rPr>
          <w:rFonts w:ascii="Times New Roman" w:hAnsi="Times New Roman"/>
          <w:sz w:val="22"/>
          <w:szCs w:val="22"/>
        </w:rPr>
        <w:t>/7</w:t>
      </w:r>
      <w:r w:rsidRPr="003D6B6C">
        <w:rPr>
          <w:rFonts w:ascii="Times New Roman" w:hAnsi="Times New Roman"/>
          <w:sz w:val="22"/>
          <w:szCs w:val="22"/>
        </w:rPr>
        <w:tab/>
      </w:r>
      <w:r w:rsidR="00002DD5" w:rsidRPr="001557F3">
        <w:rPr>
          <w:rFonts w:ascii="Times New Roman" w:hAnsi="Times New Roman"/>
          <w:sz w:val="22"/>
          <w:szCs w:val="22"/>
        </w:rPr>
        <w:t>Each delivery must be accompanied by markings on the packaging stating:</w:t>
      </w:r>
      <w:r w:rsidR="00002DD5">
        <w:rPr>
          <w:rFonts w:ascii="Times New Roman" w:hAnsi="Times New Roman"/>
          <w:sz w:val="22"/>
          <w:szCs w:val="22"/>
        </w:rPr>
        <w:t xml:space="preserve"> t</w:t>
      </w:r>
      <w:r w:rsidR="00002DD5" w:rsidRPr="001557F3">
        <w:rPr>
          <w:rFonts w:ascii="Times New Roman" w:hAnsi="Times New Roman"/>
          <w:sz w:val="22"/>
          <w:szCs w:val="22"/>
        </w:rPr>
        <w:t xml:space="preserve">he Contractor’s name, the Contract reference, the description and quantity of the supplies, and the address of delivery. Such information must also be stated in a </w:t>
      </w:r>
      <w:r w:rsidR="00002DD5" w:rsidRPr="001557F3">
        <w:rPr>
          <w:rFonts w:ascii="Times New Roman" w:hAnsi="Times New Roman"/>
          <w:sz w:val="22"/>
          <w:szCs w:val="22"/>
        </w:rPr>
        <w:lastRenderedPageBreak/>
        <w:t>document transmitted to the Beneficiary at the address of delivery (with copy transmitted simultaneously to the Contracting Authority at the address indicated under art. 4 of these Special Conditions)</w:t>
      </w:r>
    </w:p>
    <w:p w14:paraId="63A1D471" w14:textId="77777777" w:rsidR="0047783A" w:rsidRPr="003D6B6C" w:rsidRDefault="0047783A" w:rsidP="00B34179">
      <w:pPr>
        <w:spacing w:before="240"/>
        <w:ind w:left="1134" w:hanging="1134"/>
        <w:jc w:val="both"/>
        <w:rPr>
          <w:rFonts w:ascii="Times New Roman" w:hAnsi="Times New Roman"/>
          <w:b/>
          <w:sz w:val="24"/>
          <w:szCs w:val="24"/>
        </w:rPr>
      </w:pPr>
      <w:bookmarkStart w:id="13" w:name="_Toc124934914"/>
      <w:r w:rsidRPr="003D6B6C">
        <w:rPr>
          <w:rFonts w:ascii="Times New Roman" w:hAnsi="Times New Roman"/>
          <w:b/>
          <w:sz w:val="24"/>
          <w:szCs w:val="24"/>
        </w:rPr>
        <w:t>Article 31</w:t>
      </w:r>
      <w:r w:rsidRPr="003D6B6C">
        <w:rPr>
          <w:rFonts w:ascii="Times New Roman" w:hAnsi="Times New Roman"/>
          <w:b/>
          <w:sz w:val="24"/>
          <w:szCs w:val="24"/>
        </w:rPr>
        <w:tab/>
        <w:t>Provisional acceptance</w:t>
      </w:r>
      <w:bookmarkEnd w:id="13"/>
    </w:p>
    <w:p w14:paraId="07BEFC23" w14:textId="34930440" w:rsidR="00240B1F" w:rsidRPr="003D6B6C" w:rsidRDefault="0047783A" w:rsidP="00AA59D0">
      <w:pPr>
        <w:jc w:val="both"/>
        <w:rPr>
          <w:rFonts w:ascii="Times New Roman" w:hAnsi="Times New Roman"/>
          <w:sz w:val="22"/>
          <w:szCs w:val="22"/>
        </w:rPr>
      </w:pPr>
      <w:r w:rsidRPr="003D6B6C">
        <w:rPr>
          <w:rFonts w:ascii="Times New Roman" w:hAnsi="Times New Roman"/>
          <w:sz w:val="22"/>
          <w:szCs w:val="22"/>
        </w:rPr>
        <w:t xml:space="preserve">The </w:t>
      </w:r>
      <w:r w:rsidR="00F60098">
        <w:rPr>
          <w:rFonts w:ascii="Times New Roman" w:hAnsi="Times New Roman"/>
          <w:sz w:val="22"/>
          <w:szCs w:val="22"/>
        </w:rPr>
        <w:t>c</w:t>
      </w:r>
      <w:r w:rsidRPr="003D6B6C">
        <w:rPr>
          <w:rFonts w:ascii="Times New Roman" w:hAnsi="Times New Roman"/>
          <w:sz w:val="22"/>
          <w:szCs w:val="22"/>
        </w:rPr>
        <w:t xml:space="preserve">ertificate of </w:t>
      </w:r>
      <w:r w:rsidR="00F60098">
        <w:rPr>
          <w:rFonts w:ascii="Times New Roman" w:hAnsi="Times New Roman"/>
          <w:sz w:val="22"/>
          <w:szCs w:val="22"/>
        </w:rPr>
        <w:t>p</w:t>
      </w:r>
      <w:r w:rsidRPr="003D6B6C">
        <w:rPr>
          <w:rFonts w:ascii="Times New Roman" w:hAnsi="Times New Roman"/>
          <w:sz w:val="22"/>
          <w:szCs w:val="22"/>
        </w:rPr>
        <w:t xml:space="preserve">rovisional </w:t>
      </w:r>
      <w:r w:rsidR="00F60098">
        <w:rPr>
          <w:rFonts w:ascii="Times New Roman" w:hAnsi="Times New Roman"/>
          <w:sz w:val="22"/>
          <w:szCs w:val="22"/>
        </w:rPr>
        <w:t>a</w:t>
      </w:r>
      <w:r w:rsidRPr="003D6B6C">
        <w:rPr>
          <w:rFonts w:ascii="Times New Roman" w:hAnsi="Times New Roman"/>
          <w:sz w:val="22"/>
          <w:szCs w:val="22"/>
        </w:rPr>
        <w:t>cceptance must be issued using the template in Annex</w:t>
      </w:r>
      <w:r w:rsidR="001B55AC" w:rsidRPr="003D6B6C">
        <w:rPr>
          <w:rFonts w:ascii="Times New Roman" w:hAnsi="Times New Roman"/>
          <w:sz w:val="22"/>
          <w:szCs w:val="22"/>
        </w:rPr>
        <w:t> </w:t>
      </w:r>
      <w:r w:rsidRPr="003D6B6C">
        <w:rPr>
          <w:rFonts w:ascii="Times New Roman" w:hAnsi="Times New Roman"/>
          <w:sz w:val="22"/>
          <w:szCs w:val="22"/>
        </w:rPr>
        <w:t xml:space="preserve">C11. </w:t>
      </w:r>
    </w:p>
    <w:p w14:paraId="31B9042A" w14:textId="3695341F" w:rsidR="00554164" w:rsidRPr="00AA59D0" w:rsidRDefault="007F5DDE" w:rsidP="00D82847">
      <w:pPr>
        <w:autoSpaceDE w:val="0"/>
        <w:autoSpaceDN w:val="0"/>
        <w:adjustRightInd w:val="0"/>
        <w:spacing w:before="0" w:after="0"/>
        <w:ind w:left="1200"/>
        <w:rPr>
          <w:rFonts w:ascii="Times New Roman" w:hAnsi="Times New Roman"/>
          <w:sz w:val="22"/>
          <w:szCs w:val="22"/>
        </w:rPr>
      </w:pPr>
      <w:r w:rsidRPr="00AA59D0">
        <w:rPr>
          <w:rFonts w:ascii="Times New Roman" w:hAnsi="Times New Roman"/>
          <w:sz w:val="22"/>
          <w:szCs w:val="22"/>
        </w:rPr>
        <w:t xml:space="preserve">By derogation from Article </w:t>
      </w:r>
      <w:r w:rsidR="00554164" w:rsidRPr="00AA59D0">
        <w:rPr>
          <w:rFonts w:ascii="Times New Roman" w:hAnsi="Times New Roman"/>
          <w:sz w:val="22"/>
          <w:szCs w:val="22"/>
        </w:rPr>
        <w:t>31.2</w:t>
      </w:r>
      <w:r w:rsidRPr="00AA59D0">
        <w:rPr>
          <w:rFonts w:ascii="Times New Roman" w:hAnsi="Times New Roman"/>
          <w:sz w:val="22"/>
          <w:szCs w:val="22"/>
        </w:rPr>
        <w:t>, second paragraph</w:t>
      </w:r>
      <w:r w:rsidR="00554164" w:rsidRPr="00AA59D0">
        <w:rPr>
          <w:rFonts w:ascii="Times New Roman" w:hAnsi="Times New Roman"/>
          <w:sz w:val="22"/>
          <w:szCs w:val="22"/>
        </w:rPr>
        <w:t xml:space="preserve">, the </w:t>
      </w:r>
      <w:r w:rsidR="00F60098" w:rsidRPr="00AA59D0">
        <w:rPr>
          <w:rFonts w:ascii="Times New Roman" w:hAnsi="Times New Roman"/>
          <w:sz w:val="22"/>
          <w:szCs w:val="22"/>
        </w:rPr>
        <w:t>c</w:t>
      </w:r>
      <w:r w:rsidR="00554164" w:rsidRPr="00AA59D0">
        <w:rPr>
          <w:rFonts w:ascii="Times New Roman" w:hAnsi="Times New Roman"/>
          <w:sz w:val="22"/>
          <w:szCs w:val="22"/>
        </w:rPr>
        <w:t xml:space="preserve">ontracting </w:t>
      </w:r>
      <w:r w:rsidR="00F60098" w:rsidRPr="00AA59D0">
        <w:rPr>
          <w:rFonts w:ascii="Times New Roman" w:hAnsi="Times New Roman"/>
          <w:sz w:val="22"/>
          <w:szCs w:val="22"/>
        </w:rPr>
        <w:t>a</w:t>
      </w:r>
      <w:r w:rsidR="00554164" w:rsidRPr="00AA59D0">
        <w:rPr>
          <w:rFonts w:ascii="Times New Roman" w:hAnsi="Times New Roman"/>
          <w:sz w:val="22"/>
          <w:szCs w:val="22"/>
        </w:rPr>
        <w:t xml:space="preserve">uthority’s time limit for issuing the certificate of provisional acceptance to the </w:t>
      </w:r>
      <w:r w:rsidR="00F60098" w:rsidRPr="00AA59D0">
        <w:rPr>
          <w:rFonts w:ascii="Times New Roman" w:hAnsi="Times New Roman"/>
          <w:sz w:val="22"/>
          <w:szCs w:val="22"/>
        </w:rPr>
        <w:t>c</w:t>
      </w:r>
      <w:r w:rsidR="00554164" w:rsidRPr="00AA59D0">
        <w:rPr>
          <w:rFonts w:ascii="Times New Roman" w:hAnsi="Times New Roman"/>
          <w:sz w:val="22"/>
          <w:szCs w:val="22"/>
        </w:rPr>
        <w:t>ontractor shall not be considered included in the time limit for payments indicated in Article 26.3.</w:t>
      </w:r>
      <w:r w:rsidR="0049293D" w:rsidRPr="00AA59D0">
        <w:rPr>
          <w:rFonts w:ascii="Times New Roman" w:hAnsi="Times New Roman"/>
          <w:sz w:val="22"/>
          <w:szCs w:val="22"/>
        </w:rPr>
        <w:t xml:space="preserve"> </w:t>
      </w:r>
    </w:p>
    <w:p w14:paraId="21E19FD8" w14:textId="77777777" w:rsidR="0047783A" w:rsidRPr="003D6B6C" w:rsidRDefault="0047783A" w:rsidP="00B34179">
      <w:pPr>
        <w:spacing w:before="240"/>
        <w:ind w:left="1134" w:hanging="1134"/>
        <w:jc w:val="both"/>
        <w:rPr>
          <w:rFonts w:ascii="Times New Roman" w:hAnsi="Times New Roman"/>
          <w:b/>
          <w:sz w:val="24"/>
          <w:szCs w:val="24"/>
        </w:rPr>
      </w:pPr>
      <w:bookmarkStart w:id="14" w:name="_Toc124934915"/>
      <w:r w:rsidRPr="00AA59D0">
        <w:rPr>
          <w:rFonts w:ascii="Times New Roman" w:hAnsi="Times New Roman"/>
          <w:b/>
          <w:sz w:val="24"/>
          <w:szCs w:val="24"/>
        </w:rPr>
        <w:t>Article 32</w:t>
      </w:r>
      <w:r w:rsidRPr="00AA59D0">
        <w:rPr>
          <w:rFonts w:ascii="Times New Roman" w:hAnsi="Times New Roman"/>
          <w:b/>
          <w:sz w:val="24"/>
          <w:szCs w:val="24"/>
        </w:rPr>
        <w:tab/>
        <w:t>Warranty</w:t>
      </w:r>
      <w:bookmarkEnd w:id="14"/>
      <w:r w:rsidR="00177A94" w:rsidRPr="00AA59D0">
        <w:rPr>
          <w:rFonts w:ascii="Times New Roman" w:hAnsi="Times New Roman"/>
          <w:b/>
          <w:sz w:val="24"/>
          <w:szCs w:val="24"/>
        </w:rPr>
        <w:t xml:space="preserve"> obligations</w:t>
      </w:r>
    </w:p>
    <w:p w14:paraId="6A5AAA89" w14:textId="77777777" w:rsidR="00002DD5" w:rsidRPr="003D6B6C" w:rsidRDefault="00177A94" w:rsidP="00002DD5">
      <w:pPr>
        <w:ind w:left="1134" w:hanging="708"/>
        <w:jc w:val="both"/>
        <w:rPr>
          <w:rFonts w:ascii="Times New Roman" w:hAnsi="Times New Roman"/>
          <w:sz w:val="22"/>
          <w:szCs w:val="22"/>
        </w:rPr>
      </w:pPr>
      <w:r w:rsidRPr="003D6B6C">
        <w:rPr>
          <w:rFonts w:ascii="Times New Roman" w:hAnsi="Times New Roman"/>
          <w:sz w:val="22"/>
          <w:szCs w:val="22"/>
        </w:rPr>
        <w:t>32.6</w:t>
      </w:r>
      <w:r w:rsidRPr="003D6B6C">
        <w:rPr>
          <w:rFonts w:ascii="Times New Roman" w:hAnsi="Times New Roman"/>
          <w:sz w:val="22"/>
          <w:szCs w:val="22"/>
        </w:rPr>
        <w:tab/>
      </w:r>
      <w:r w:rsidR="00002DD5">
        <w:rPr>
          <w:rFonts w:ascii="Times New Roman" w:hAnsi="Times New Roman"/>
          <w:sz w:val="22"/>
          <w:szCs w:val="22"/>
        </w:rPr>
        <w:t>The Contractor shall warrant that the supplies are new, unused, of the most recent models and incorporate all recent improvements in design and materials. The standard commercial warranty by the Manufacturer must also be provided.</w:t>
      </w:r>
    </w:p>
    <w:p w14:paraId="796570A9" w14:textId="77DD0E67" w:rsidR="00DF7EE0" w:rsidRPr="003D6B6C" w:rsidRDefault="00DF7EE0" w:rsidP="006B145B">
      <w:pPr>
        <w:ind w:left="1134" w:hanging="708"/>
        <w:jc w:val="both"/>
        <w:rPr>
          <w:rFonts w:ascii="Times New Roman" w:hAnsi="Times New Roman"/>
          <w:sz w:val="22"/>
          <w:szCs w:val="22"/>
        </w:rPr>
      </w:pPr>
      <w:r w:rsidRPr="003D6B6C">
        <w:rPr>
          <w:rFonts w:ascii="Times New Roman" w:hAnsi="Times New Roman"/>
          <w:sz w:val="22"/>
          <w:szCs w:val="22"/>
        </w:rPr>
        <w:t>32.7</w:t>
      </w:r>
      <w:r w:rsidRPr="003D6B6C">
        <w:rPr>
          <w:rFonts w:ascii="Times New Roman" w:hAnsi="Times New Roman"/>
          <w:sz w:val="22"/>
          <w:szCs w:val="22"/>
        </w:rPr>
        <w:tab/>
        <w:t xml:space="preserve">The warranty must remain valid for </w:t>
      </w:r>
      <w:r w:rsidR="00002DD5" w:rsidRPr="001557F3">
        <w:rPr>
          <w:rFonts w:ascii="Times New Roman" w:hAnsi="Times New Roman"/>
          <w:sz w:val="22"/>
          <w:szCs w:val="22"/>
        </w:rPr>
        <w:t>a period of one year</w:t>
      </w:r>
      <w:r w:rsidR="00002DD5" w:rsidRPr="003D6B6C">
        <w:rPr>
          <w:rFonts w:ascii="Times New Roman" w:hAnsi="Times New Roman"/>
          <w:sz w:val="22"/>
          <w:szCs w:val="22"/>
        </w:rPr>
        <w:t xml:space="preserve"> after </w:t>
      </w:r>
      <w:r w:rsidRPr="003D6B6C">
        <w:rPr>
          <w:rFonts w:ascii="Times New Roman" w:hAnsi="Times New Roman"/>
          <w:sz w:val="22"/>
          <w:szCs w:val="22"/>
        </w:rPr>
        <w:t>provisional acceptance.</w:t>
      </w:r>
    </w:p>
    <w:p w14:paraId="439C5278" w14:textId="77777777" w:rsidR="0047783A" w:rsidRPr="003D6B6C" w:rsidRDefault="0047783A" w:rsidP="00B34179">
      <w:pPr>
        <w:spacing w:before="240"/>
        <w:ind w:left="1134" w:hanging="1134"/>
        <w:jc w:val="both"/>
        <w:rPr>
          <w:rFonts w:ascii="Times New Roman" w:hAnsi="Times New Roman"/>
          <w:b/>
          <w:sz w:val="24"/>
          <w:szCs w:val="24"/>
        </w:rPr>
      </w:pPr>
      <w:bookmarkStart w:id="15"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5"/>
    </w:p>
    <w:p w14:paraId="1F9D1A41" w14:textId="106EEC0B" w:rsidR="0047783A" w:rsidRPr="00AA59D0" w:rsidRDefault="0047783A" w:rsidP="00AA59D0">
      <w:pPr>
        <w:tabs>
          <w:tab w:val="left" w:pos="1417"/>
          <w:tab w:val="left" w:pos="2126"/>
          <w:tab w:val="left" w:pos="2835"/>
        </w:tabs>
        <w:ind w:left="1134"/>
        <w:rPr>
          <w:rFonts w:ascii="Times New Roman" w:hAnsi="Times New Roman"/>
          <w:sz w:val="22"/>
          <w:szCs w:val="22"/>
        </w:rPr>
      </w:pPr>
      <w:r w:rsidRPr="00AA59D0">
        <w:rPr>
          <w:rFonts w:ascii="Times New Roman" w:hAnsi="Times New Roman"/>
          <w:sz w:val="22"/>
          <w:szCs w:val="22"/>
        </w:rPr>
        <w:t xml:space="preserve">Any dispute arising out of or relating to this </w:t>
      </w:r>
      <w:r w:rsidR="00F60098" w:rsidRPr="00AA59D0">
        <w:rPr>
          <w:rFonts w:ascii="Times New Roman" w:hAnsi="Times New Roman"/>
          <w:sz w:val="22"/>
          <w:szCs w:val="22"/>
        </w:rPr>
        <w:t>c</w:t>
      </w:r>
      <w:r w:rsidR="0097513D" w:rsidRPr="00AA59D0">
        <w:rPr>
          <w:rFonts w:ascii="Times New Roman" w:hAnsi="Times New Roman"/>
          <w:sz w:val="22"/>
          <w:szCs w:val="22"/>
        </w:rPr>
        <w:t>ontract</w:t>
      </w:r>
      <w:r w:rsidRPr="00AA59D0">
        <w:rPr>
          <w:rFonts w:ascii="Times New Roman" w:hAnsi="Times New Roman"/>
          <w:sz w:val="22"/>
          <w:szCs w:val="22"/>
        </w:rPr>
        <w:t xml:space="preserve"> which cannot be settled otherwise </w:t>
      </w:r>
      <w:r w:rsidR="00551543" w:rsidRPr="00AA59D0">
        <w:rPr>
          <w:rFonts w:ascii="Times New Roman" w:hAnsi="Times New Roman"/>
          <w:sz w:val="22"/>
          <w:szCs w:val="22"/>
        </w:rPr>
        <w:t>sha</w:t>
      </w:r>
      <w:r w:rsidR="003D2078" w:rsidRPr="00AA59D0">
        <w:rPr>
          <w:rFonts w:ascii="Times New Roman" w:hAnsi="Times New Roman"/>
          <w:sz w:val="22"/>
          <w:szCs w:val="22"/>
        </w:rPr>
        <w:t>ll</w:t>
      </w:r>
      <w:r w:rsidRPr="00AA59D0">
        <w:rPr>
          <w:rFonts w:ascii="Times New Roman" w:hAnsi="Times New Roman"/>
          <w:sz w:val="22"/>
          <w:szCs w:val="22"/>
        </w:rPr>
        <w:t>:</w:t>
      </w:r>
    </w:p>
    <w:p w14:paraId="6904F478" w14:textId="77777777" w:rsidR="0047783A" w:rsidRPr="00AA59D0" w:rsidRDefault="0047783A" w:rsidP="001B55AC">
      <w:pPr>
        <w:tabs>
          <w:tab w:val="left" w:pos="2835"/>
        </w:tabs>
        <w:ind w:left="1985" w:hanging="425"/>
        <w:rPr>
          <w:rFonts w:ascii="Times New Roman" w:hAnsi="Times New Roman"/>
          <w:sz w:val="22"/>
          <w:szCs w:val="22"/>
        </w:rPr>
      </w:pPr>
      <w:r w:rsidRPr="00AA59D0">
        <w:rPr>
          <w:rFonts w:ascii="Times New Roman" w:hAnsi="Times New Roman"/>
          <w:sz w:val="22"/>
          <w:szCs w:val="22"/>
        </w:rPr>
        <w:t>(</w:t>
      </w:r>
      <w:proofErr w:type="spellStart"/>
      <w:r w:rsidRPr="00AA59D0">
        <w:rPr>
          <w:rFonts w:ascii="Times New Roman" w:hAnsi="Times New Roman"/>
          <w:sz w:val="22"/>
          <w:szCs w:val="22"/>
        </w:rPr>
        <w:t>i</w:t>
      </w:r>
      <w:proofErr w:type="spellEnd"/>
      <w:r w:rsidRPr="00AA59D0">
        <w:rPr>
          <w:rFonts w:ascii="Times New Roman" w:hAnsi="Times New Roman"/>
          <w:sz w:val="22"/>
          <w:szCs w:val="22"/>
        </w:rPr>
        <w:t>)</w:t>
      </w:r>
      <w:r w:rsidR="001B55AC" w:rsidRPr="00AA59D0">
        <w:rPr>
          <w:rFonts w:ascii="Times New Roman" w:hAnsi="Times New Roman"/>
          <w:sz w:val="22"/>
          <w:szCs w:val="22"/>
        </w:rPr>
        <w:tab/>
      </w:r>
      <w:r w:rsidRPr="00AA59D0">
        <w:rPr>
          <w:rFonts w:ascii="Times New Roman" w:hAnsi="Times New Roman"/>
          <w:sz w:val="22"/>
          <w:szCs w:val="22"/>
        </w:rPr>
        <w:t xml:space="preserve">if the parties to the </w:t>
      </w:r>
      <w:r w:rsidR="00F60098" w:rsidRPr="00AA59D0">
        <w:rPr>
          <w:rFonts w:ascii="Times New Roman" w:hAnsi="Times New Roman"/>
          <w:sz w:val="22"/>
          <w:szCs w:val="22"/>
        </w:rPr>
        <w:t>c</w:t>
      </w:r>
      <w:r w:rsidR="0097513D" w:rsidRPr="00AA59D0">
        <w:rPr>
          <w:rFonts w:ascii="Times New Roman" w:hAnsi="Times New Roman"/>
          <w:sz w:val="22"/>
          <w:szCs w:val="22"/>
        </w:rPr>
        <w:t>ontract</w:t>
      </w:r>
      <w:r w:rsidRPr="00AA59D0">
        <w:rPr>
          <w:rFonts w:ascii="Times New Roman" w:hAnsi="Times New Roman"/>
          <w:sz w:val="22"/>
          <w:szCs w:val="22"/>
        </w:rPr>
        <w:t xml:space="preserve"> so agree, in accordance with the national legislation of the </w:t>
      </w:r>
      <w:r w:rsidR="00686ACD" w:rsidRPr="00AA59D0">
        <w:rPr>
          <w:rFonts w:ascii="Times New Roman" w:hAnsi="Times New Roman"/>
          <w:sz w:val="22"/>
          <w:szCs w:val="22"/>
        </w:rPr>
        <w:t xml:space="preserve">state of the </w:t>
      </w:r>
      <w:r w:rsidR="00F60098" w:rsidRPr="00AA59D0">
        <w:rPr>
          <w:rFonts w:ascii="Times New Roman" w:hAnsi="Times New Roman"/>
          <w:sz w:val="22"/>
          <w:szCs w:val="22"/>
        </w:rPr>
        <w:t>c</w:t>
      </w:r>
      <w:r w:rsidR="00686ACD" w:rsidRPr="00AA59D0">
        <w:rPr>
          <w:rFonts w:ascii="Times New Roman" w:hAnsi="Times New Roman"/>
          <w:sz w:val="22"/>
          <w:szCs w:val="22"/>
        </w:rPr>
        <w:t xml:space="preserve">ontracting </w:t>
      </w:r>
      <w:r w:rsidR="00F60098" w:rsidRPr="00AA59D0">
        <w:rPr>
          <w:rFonts w:ascii="Times New Roman" w:hAnsi="Times New Roman"/>
          <w:sz w:val="22"/>
          <w:szCs w:val="22"/>
        </w:rPr>
        <w:t>a</w:t>
      </w:r>
      <w:r w:rsidR="00686ACD" w:rsidRPr="00AA59D0">
        <w:rPr>
          <w:rFonts w:ascii="Times New Roman" w:hAnsi="Times New Roman"/>
          <w:sz w:val="22"/>
          <w:szCs w:val="22"/>
        </w:rPr>
        <w:t xml:space="preserve">uthority </w:t>
      </w:r>
      <w:r w:rsidRPr="00AA59D0">
        <w:rPr>
          <w:rFonts w:ascii="Times New Roman" w:hAnsi="Times New Roman"/>
          <w:sz w:val="22"/>
          <w:szCs w:val="22"/>
        </w:rPr>
        <w:t>or its established international practices; or</w:t>
      </w:r>
    </w:p>
    <w:p w14:paraId="7E239D05" w14:textId="40C04A54" w:rsidR="0038357E" w:rsidRPr="003D6B6C" w:rsidRDefault="0047783A" w:rsidP="0038357E">
      <w:pPr>
        <w:autoSpaceDE w:val="0"/>
        <w:autoSpaceDN w:val="0"/>
        <w:adjustRightInd w:val="0"/>
        <w:ind w:left="1985" w:hanging="425"/>
        <w:jc w:val="both"/>
        <w:rPr>
          <w:rFonts w:ascii="Times New Roman" w:hAnsi="Times New Roman"/>
          <w:sz w:val="22"/>
          <w:szCs w:val="22"/>
          <w:lang w:bidi="kn-IN"/>
        </w:rPr>
      </w:pPr>
      <w:r w:rsidRPr="00AA59D0">
        <w:rPr>
          <w:rFonts w:ascii="Times New Roman" w:hAnsi="Times New Roman"/>
          <w:sz w:val="22"/>
          <w:szCs w:val="22"/>
        </w:rPr>
        <w:t>(ii)</w:t>
      </w:r>
      <w:r w:rsidR="001B55AC" w:rsidRPr="00AA59D0">
        <w:rPr>
          <w:rFonts w:ascii="Times New Roman" w:hAnsi="Times New Roman"/>
          <w:sz w:val="22"/>
          <w:szCs w:val="22"/>
        </w:rPr>
        <w:tab/>
      </w:r>
      <w:r w:rsidRPr="00AA59D0">
        <w:rPr>
          <w:rFonts w:ascii="Times New Roman" w:hAnsi="Times New Roman"/>
          <w:sz w:val="22"/>
          <w:szCs w:val="22"/>
        </w:rPr>
        <w:t xml:space="preserve">by arbitration in accordance with the </w:t>
      </w:r>
      <w:r w:rsidR="00F60098" w:rsidRPr="00AA59D0">
        <w:rPr>
          <w:rFonts w:ascii="Times New Roman" w:hAnsi="Times New Roman"/>
          <w:sz w:val="22"/>
          <w:szCs w:val="22"/>
        </w:rPr>
        <w:t>p</w:t>
      </w:r>
      <w:r w:rsidRPr="00AA59D0">
        <w:rPr>
          <w:rFonts w:ascii="Times New Roman" w:hAnsi="Times New Roman"/>
          <w:sz w:val="22"/>
          <w:szCs w:val="22"/>
        </w:rPr>
        <w:t>rocedural rules on conciliation and arbitration of contracts financed by the European Development Fund, adopted by Decision 3/90 of the ACP-EEC Council of Ministers of 29</w:t>
      </w:r>
      <w:r w:rsidR="00035D61" w:rsidRPr="00AA59D0">
        <w:rPr>
          <w:rFonts w:ascii="Times New Roman" w:hAnsi="Times New Roman"/>
          <w:sz w:val="22"/>
          <w:szCs w:val="22"/>
        </w:rPr>
        <w:t> </w:t>
      </w:r>
      <w:r w:rsidRPr="00AA59D0">
        <w:rPr>
          <w:rFonts w:ascii="Times New Roman" w:hAnsi="Times New Roman"/>
          <w:sz w:val="22"/>
          <w:szCs w:val="22"/>
        </w:rPr>
        <w:t>March 1990 (Official Journal No L 382, 31.12.1990</w:t>
      </w:r>
      <w:r w:rsidR="0038357E" w:rsidRPr="00AA59D0">
        <w:rPr>
          <w:rFonts w:ascii="Times New Roman" w:hAnsi="Times New Roman"/>
          <w:sz w:val="22"/>
          <w:szCs w:val="22"/>
        </w:rPr>
        <w:t xml:space="preserve">, </w:t>
      </w:r>
      <w:r w:rsidRPr="00AA59D0">
        <w:rPr>
          <w:rFonts w:ascii="Times New Roman" w:hAnsi="Times New Roman"/>
          <w:sz w:val="22"/>
          <w:szCs w:val="22"/>
        </w:rPr>
        <w:t xml:space="preserve"> Annex a12 to the </w:t>
      </w:r>
      <w:r w:rsidR="00686E07" w:rsidRPr="00AA59D0">
        <w:rPr>
          <w:rFonts w:ascii="Times New Roman" w:hAnsi="Times New Roman"/>
          <w:sz w:val="22"/>
          <w:szCs w:val="22"/>
        </w:rPr>
        <w:t>p</w:t>
      </w:r>
      <w:r w:rsidRPr="00AA59D0">
        <w:rPr>
          <w:rFonts w:ascii="Times New Roman" w:hAnsi="Times New Roman"/>
          <w:sz w:val="22"/>
          <w:szCs w:val="22"/>
        </w:rPr>
        <w:t xml:space="preserve">ractical </w:t>
      </w:r>
      <w:r w:rsidR="00686E07" w:rsidRPr="00AA59D0">
        <w:rPr>
          <w:rFonts w:ascii="Times New Roman" w:hAnsi="Times New Roman"/>
          <w:sz w:val="22"/>
          <w:szCs w:val="22"/>
        </w:rPr>
        <w:t>g</w:t>
      </w:r>
      <w:r w:rsidRPr="00AA59D0">
        <w:rPr>
          <w:rFonts w:ascii="Times New Roman" w:hAnsi="Times New Roman"/>
          <w:sz w:val="22"/>
          <w:szCs w:val="22"/>
        </w:rPr>
        <w:t>uide)</w:t>
      </w:r>
      <w:r w:rsidR="000C0D43" w:rsidRPr="00AA59D0">
        <w:rPr>
          <w:rFonts w:ascii="Times New Roman" w:hAnsi="Times New Roman"/>
          <w:sz w:val="22"/>
          <w:szCs w:val="22"/>
          <w:lang w:bidi="kn-IN"/>
        </w:rPr>
        <w:t>.</w:t>
      </w:r>
    </w:p>
    <w:p w14:paraId="374BCB91" w14:textId="77777777" w:rsidR="00407C90" w:rsidRPr="003D6B6C" w:rsidRDefault="00407C90" w:rsidP="00407C90">
      <w:pPr>
        <w:ind w:left="567" w:hanging="567"/>
        <w:rPr>
          <w:rFonts w:ascii="Times New Roman" w:hAnsi="Times New Roman"/>
          <w:sz w:val="22"/>
          <w:szCs w:val="22"/>
          <w:highlight w:val="yellow"/>
        </w:rPr>
      </w:pPr>
    </w:p>
    <w:p w14:paraId="71CD522A" w14:textId="77777777" w:rsidR="00407C90" w:rsidRPr="00AA59D0" w:rsidRDefault="00407C90" w:rsidP="00407C90">
      <w:pPr>
        <w:keepNext/>
        <w:keepLines/>
        <w:tabs>
          <w:tab w:val="left" w:pos="1134"/>
        </w:tabs>
        <w:spacing w:before="240"/>
        <w:ind w:left="1134" w:hanging="1134"/>
        <w:rPr>
          <w:rFonts w:ascii="Times New Roman" w:hAnsi="Times New Roman"/>
          <w:b/>
          <w:sz w:val="24"/>
          <w:szCs w:val="24"/>
        </w:rPr>
      </w:pPr>
      <w:r w:rsidRPr="00AA59D0">
        <w:rPr>
          <w:rFonts w:ascii="Times New Roman" w:hAnsi="Times New Roman"/>
          <w:b/>
          <w:sz w:val="24"/>
          <w:szCs w:val="24"/>
        </w:rPr>
        <w:t>Article 44</w:t>
      </w:r>
      <w:r w:rsidRPr="00AA59D0">
        <w:rPr>
          <w:rFonts w:ascii="Times New Roman" w:hAnsi="Times New Roman"/>
          <w:b/>
          <w:sz w:val="24"/>
          <w:szCs w:val="24"/>
        </w:rPr>
        <w:tab/>
        <w:t xml:space="preserve">Data </w:t>
      </w:r>
      <w:r w:rsidR="00686E07" w:rsidRPr="00AA59D0">
        <w:rPr>
          <w:rFonts w:ascii="Times New Roman" w:hAnsi="Times New Roman"/>
          <w:b/>
          <w:sz w:val="24"/>
          <w:szCs w:val="24"/>
        </w:rPr>
        <w:t>p</w:t>
      </w:r>
      <w:r w:rsidRPr="00AA59D0">
        <w:rPr>
          <w:rFonts w:ascii="Times New Roman" w:hAnsi="Times New Roman"/>
          <w:b/>
          <w:sz w:val="24"/>
          <w:szCs w:val="24"/>
        </w:rPr>
        <w:t>rotection</w:t>
      </w:r>
    </w:p>
    <w:p w14:paraId="2E17081D" w14:textId="77777777" w:rsidR="001834C4" w:rsidRPr="001834C4" w:rsidRDefault="001834C4" w:rsidP="001834C4">
      <w:pPr>
        <w:snapToGrid w:val="0"/>
        <w:spacing w:before="240"/>
        <w:rPr>
          <w:snapToGrid/>
          <w:sz w:val="22"/>
          <w:szCs w:val="22"/>
        </w:rPr>
      </w:pPr>
      <w:r w:rsidRPr="001834C4">
        <w:rPr>
          <w:rFonts w:ascii="Times New Roman" w:hAnsi="Times New Roman"/>
          <w:snapToGrid/>
          <w:sz w:val="22"/>
          <w:szCs w:val="22"/>
        </w:rPr>
        <w:t>Not applicable.</w:t>
      </w:r>
    </w:p>
    <w:p w14:paraId="2094EBC9" w14:textId="6CBE4BFC" w:rsidR="00B605B6" w:rsidRDefault="00B605B6" w:rsidP="00AA59D0">
      <w:pPr>
        <w:pStyle w:val="ListNumber"/>
        <w:numPr>
          <w:ilvl w:val="0"/>
          <w:numId w:val="0"/>
        </w:numPr>
        <w:spacing w:before="240"/>
        <w:ind w:left="1134" w:hanging="1134"/>
        <w:rPr>
          <w:sz w:val="22"/>
          <w:szCs w:val="22"/>
        </w:rPr>
      </w:pPr>
    </w:p>
    <w:p w14:paraId="0C263D90" w14:textId="77777777" w:rsidR="001B55AC" w:rsidRPr="003D6B6C" w:rsidRDefault="001B55AC" w:rsidP="001B55AC">
      <w:pPr>
        <w:pStyle w:val="ListNumber"/>
        <w:numPr>
          <w:ilvl w:val="0"/>
          <w:numId w:val="0"/>
        </w:numPr>
        <w:spacing w:before="360" w:after="100" w:afterAutospacing="1"/>
        <w:ind w:left="1984" w:hanging="425"/>
        <w:jc w:val="center"/>
        <w:rPr>
          <w:sz w:val="22"/>
          <w:szCs w:val="22"/>
        </w:rPr>
      </w:pPr>
      <w:r w:rsidRPr="003D6B6C">
        <w:rPr>
          <w:sz w:val="22"/>
          <w:szCs w:val="22"/>
        </w:rPr>
        <w:t>* * *</w:t>
      </w:r>
    </w:p>
    <w:sectPr w:rsidR="001B55AC" w:rsidRPr="003D6B6C" w:rsidSect="003D6B6C">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134" w:right="1418" w:bottom="993" w:left="1701" w:header="720"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49EA8" w14:textId="77777777" w:rsidR="00C53DA3" w:rsidRPr="006A5F84" w:rsidRDefault="00C53DA3">
      <w:r w:rsidRPr="006A5F84">
        <w:separator/>
      </w:r>
    </w:p>
  </w:endnote>
  <w:endnote w:type="continuationSeparator" w:id="0">
    <w:p w14:paraId="5925017A" w14:textId="77777777" w:rsidR="00C53DA3" w:rsidRPr="006A5F84" w:rsidRDefault="00C53DA3">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D081"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9FD627"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FA40E" w14:textId="77777777" w:rsidR="007E36E3" w:rsidRPr="00FE689C" w:rsidRDefault="00F4288C"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Pr>
        <w:rFonts w:ascii="Times New Roman" w:hAnsi="Times New Roman"/>
        <w:b/>
        <w:sz w:val="18"/>
        <w:lang w:val="en-GB"/>
      </w:rPr>
      <w:t>July</w:t>
    </w:r>
    <w:r w:rsidR="002E5532">
      <w:rPr>
        <w:rFonts w:ascii="Times New Roman" w:hAnsi="Times New Roman"/>
        <w:b/>
        <w:sz w:val="18"/>
        <w:szCs w:val="18"/>
        <w:lang w:val="en-GB"/>
      </w:rPr>
      <w:t xml:space="preserve"> </w:t>
    </w:r>
    <w:r w:rsidR="00391C12">
      <w:rPr>
        <w:rFonts w:ascii="Times New Roman" w:hAnsi="Times New Roman"/>
        <w:b/>
        <w:sz w:val="18"/>
        <w:szCs w:val="18"/>
        <w:lang w:val="en-GB"/>
      </w:rPr>
      <w:t>201</w:t>
    </w:r>
    <w:r>
      <w:rPr>
        <w:rFonts w:ascii="Times New Roman" w:hAnsi="Times New Roman"/>
        <w:b/>
        <w:sz w:val="18"/>
        <w:szCs w:val="18"/>
        <w:lang w:val="en-GB"/>
      </w:rPr>
      <w:t>9</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1F24F0">
      <w:rPr>
        <w:rStyle w:val="PageNumber"/>
        <w:rFonts w:ascii="Times New Roman" w:hAnsi="Times New Roman"/>
        <w:noProof/>
        <w:sz w:val="18"/>
        <w:szCs w:val="18"/>
        <w:lang w:val="en-GB"/>
      </w:rPr>
      <w:t>6</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1F24F0">
      <w:rPr>
        <w:rStyle w:val="PageNumber"/>
        <w:rFonts w:ascii="Times New Roman" w:hAnsi="Times New Roman"/>
        <w:noProof/>
        <w:sz w:val="18"/>
        <w:szCs w:val="18"/>
        <w:lang w:val="en-GB"/>
      </w:rPr>
      <w:t>9</w:t>
    </w:r>
    <w:r w:rsidR="007E36E3" w:rsidRPr="009423FB">
      <w:rPr>
        <w:rStyle w:val="PageNumber"/>
        <w:rFonts w:ascii="Times New Roman" w:hAnsi="Times New Roman"/>
        <w:sz w:val="18"/>
        <w:szCs w:val="18"/>
      </w:rPr>
      <w:fldChar w:fldCharType="end"/>
    </w:r>
  </w:p>
  <w:p w14:paraId="035BD408" w14:textId="55691EB5" w:rsidR="00AA59D0" w:rsidRPr="00AA59D0" w:rsidRDefault="00AA59D0" w:rsidP="00AA59D0">
    <w:pPr>
      <w:spacing w:before="0" w:after="0"/>
      <w:rPr>
        <w:rFonts w:ascii="Times New Roman" w:hAnsi="Times New Roman"/>
        <w:sz w:val="18"/>
        <w:szCs w:val="18"/>
      </w:rPr>
    </w:pPr>
    <w:r w:rsidRPr="00AA59D0">
      <w:rPr>
        <w:rFonts w:ascii="Times New Roman" w:hAnsi="Times New Roman"/>
        <w:sz w:val="18"/>
        <w:szCs w:val="18"/>
      </w:rPr>
      <w:t>SALW</w:t>
    </w:r>
    <w:r w:rsidR="007E36E3" w:rsidRPr="009423FB">
      <w:rPr>
        <w:rFonts w:ascii="Times New Roman" w:hAnsi="Times New Roman"/>
        <w:sz w:val="18"/>
        <w:szCs w:val="18"/>
      </w:rPr>
      <w:fldChar w:fldCharType="begin"/>
    </w:r>
    <w:r w:rsidR="007E36E3" w:rsidRPr="009423FB">
      <w:rPr>
        <w:rFonts w:ascii="Times New Roman" w:hAnsi="Times New Roman"/>
        <w:sz w:val="18"/>
        <w:szCs w:val="18"/>
      </w:rPr>
      <w:instrText xml:space="preserve"> FILENAME </w:instrText>
    </w:r>
    <w:r w:rsidR="007E36E3" w:rsidRPr="009423FB">
      <w:rPr>
        <w:rFonts w:ascii="Times New Roman" w:hAnsi="Times New Roman"/>
        <w:sz w:val="18"/>
        <w:szCs w:val="18"/>
      </w:rPr>
      <w:fldChar w:fldCharType="separate"/>
    </w:r>
    <w:r w:rsidR="0011156A">
      <w:rPr>
        <w:rFonts w:ascii="Times New Roman" w:hAnsi="Times New Roman"/>
        <w:noProof/>
        <w:sz w:val="18"/>
        <w:szCs w:val="18"/>
      </w:rPr>
      <w:t>c4d_specialconditions</w:t>
    </w:r>
    <w:r w:rsidR="007E36E3" w:rsidRPr="009423FB">
      <w:rPr>
        <w:rFonts w:ascii="Times New Roman" w:hAnsi="Times New Roman"/>
        <w:sz w:val="18"/>
        <w:szCs w:val="18"/>
      </w:rPr>
      <w:fldChar w:fldCharType="end"/>
    </w:r>
    <w:r w:rsidRPr="00AA59D0">
      <w:rPr>
        <w:rFonts w:ascii="Times New Roman" w:hAnsi="Times New Roman"/>
        <w:sz w:val="18"/>
        <w:szCs w:val="18"/>
      </w:rPr>
      <w:t xml:space="preserve"> </w:t>
    </w:r>
  </w:p>
  <w:p w14:paraId="0BF58475" w14:textId="74E1DBFE" w:rsidR="00117ADA" w:rsidRPr="007E36E3" w:rsidRDefault="00AA59D0" w:rsidP="00AA59D0">
    <w:pPr>
      <w:spacing w:before="0" w:after="0"/>
      <w:rPr>
        <w:rFonts w:ascii="Times New Roman" w:hAnsi="Times New Roman"/>
        <w:sz w:val="18"/>
        <w:szCs w:val="18"/>
      </w:rPr>
    </w:pPr>
    <w:r w:rsidRPr="00AA59D0">
      <w:rPr>
        <w:rFonts w:ascii="Times New Roman" w:hAnsi="Times New Roman"/>
        <w:sz w:val="18"/>
        <w:szCs w:val="18"/>
      </w:rPr>
      <w:t>ECW/PSS-GRANT/RT/04/2020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7CF91"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7E2AF8A"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614F2" w14:textId="77777777" w:rsidR="00C53DA3" w:rsidRPr="006A5F84" w:rsidRDefault="00C53DA3">
      <w:r w:rsidRPr="006A5F84">
        <w:separator/>
      </w:r>
    </w:p>
  </w:footnote>
  <w:footnote w:type="continuationSeparator" w:id="0">
    <w:p w14:paraId="4401DAB6" w14:textId="77777777" w:rsidR="00C53DA3" w:rsidRPr="006A5F84" w:rsidRDefault="00C53DA3">
      <w:r w:rsidRPr="006A5F84">
        <w:continuationSeparator/>
      </w:r>
    </w:p>
  </w:footnote>
  <w:footnote w:id="1">
    <w:p w14:paraId="6BE2004A" w14:textId="77777777" w:rsidR="00297C14" w:rsidRPr="00C73F87" w:rsidRDefault="00297C14" w:rsidP="001020D9">
      <w:pPr>
        <w:pStyle w:val="FootnoteText"/>
        <w:rPr>
          <w:lang w:val="en-GB"/>
        </w:rPr>
      </w:pPr>
      <w:r w:rsidRPr="003D6B6C">
        <w:rPr>
          <w:rStyle w:val="FootnoteReference"/>
        </w:rPr>
        <w:footnoteRef/>
      </w:r>
      <w:r w:rsidR="001020D9" w:rsidRPr="00C73F87">
        <w:rPr>
          <w:lang w:val="en-GB"/>
        </w:rPr>
        <w:t xml:space="preserve"> </w:t>
      </w:r>
      <w:r w:rsidRPr="00C73F87">
        <w:rPr>
          <w:lang w:val="en-GB"/>
        </w:rPr>
        <w:t xml:space="preserve">See </w:t>
      </w:r>
      <w:r w:rsidR="001F24F0" w:rsidRPr="001F24F0">
        <w:rPr>
          <w:lang w:val="en-GB"/>
        </w:rPr>
        <w:t>http://www.iccwbo.org/incoterms/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5C31" w14:textId="77777777" w:rsidR="00AA59D0" w:rsidRDefault="00AA5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2CE6" w14:textId="77777777" w:rsidR="00AA59D0" w:rsidRDefault="00AA5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2FC0" w14:textId="77777777" w:rsidR="00AA59D0" w:rsidRDefault="00AA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02DD5"/>
    <w:rsid w:val="0000334D"/>
    <w:rsid w:val="00007C5B"/>
    <w:rsid w:val="00035D6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746B"/>
    <w:rsid w:val="000A1A71"/>
    <w:rsid w:val="000A3B36"/>
    <w:rsid w:val="000A6371"/>
    <w:rsid w:val="000A7A2C"/>
    <w:rsid w:val="000B0983"/>
    <w:rsid w:val="000B1236"/>
    <w:rsid w:val="000B46A8"/>
    <w:rsid w:val="000B79F6"/>
    <w:rsid w:val="000C0D43"/>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37B9"/>
    <w:rsid w:val="00143CA4"/>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34C4"/>
    <w:rsid w:val="00184144"/>
    <w:rsid w:val="001859A5"/>
    <w:rsid w:val="001864B6"/>
    <w:rsid w:val="00187253"/>
    <w:rsid w:val="00190077"/>
    <w:rsid w:val="001932AF"/>
    <w:rsid w:val="001937B4"/>
    <w:rsid w:val="001A6941"/>
    <w:rsid w:val="001A6C79"/>
    <w:rsid w:val="001B4DA9"/>
    <w:rsid w:val="001B5454"/>
    <w:rsid w:val="001B55AC"/>
    <w:rsid w:val="001C709F"/>
    <w:rsid w:val="001C75B0"/>
    <w:rsid w:val="001D0532"/>
    <w:rsid w:val="001D1EB9"/>
    <w:rsid w:val="001D20C7"/>
    <w:rsid w:val="001D339B"/>
    <w:rsid w:val="001E2362"/>
    <w:rsid w:val="001E4648"/>
    <w:rsid w:val="001F24F0"/>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3407E"/>
    <w:rsid w:val="00240B1F"/>
    <w:rsid w:val="002426D3"/>
    <w:rsid w:val="0024425D"/>
    <w:rsid w:val="002442B7"/>
    <w:rsid w:val="002455C7"/>
    <w:rsid w:val="0025137A"/>
    <w:rsid w:val="002543D5"/>
    <w:rsid w:val="002560BB"/>
    <w:rsid w:val="002561C8"/>
    <w:rsid w:val="00256304"/>
    <w:rsid w:val="00256CB2"/>
    <w:rsid w:val="0026542C"/>
    <w:rsid w:val="00271700"/>
    <w:rsid w:val="00272A7B"/>
    <w:rsid w:val="00277BEB"/>
    <w:rsid w:val="0028364A"/>
    <w:rsid w:val="00283AC4"/>
    <w:rsid w:val="00290561"/>
    <w:rsid w:val="00294190"/>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1529A"/>
    <w:rsid w:val="00322263"/>
    <w:rsid w:val="00324259"/>
    <w:rsid w:val="0032469B"/>
    <w:rsid w:val="003308C6"/>
    <w:rsid w:val="0033212F"/>
    <w:rsid w:val="003323F5"/>
    <w:rsid w:val="003330F8"/>
    <w:rsid w:val="00335E06"/>
    <w:rsid w:val="003409B8"/>
    <w:rsid w:val="003439C4"/>
    <w:rsid w:val="00347B7E"/>
    <w:rsid w:val="003502E9"/>
    <w:rsid w:val="00351351"/>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1859"/>
    <w:rsid w:val="00445A75"/>
    <w:rsid w:val="004476EF"/>
    <w:rsid w:val="004520DC"/>
    <w:rsid w:val="0045310F"/>
    <w:rsid w:val="00454E0D"/>
    <w:rsid w:val="004554CB"/>
    <w:rsid w:val="0045678B"/>
    <w:rsid w:val="004607CD"/>
    <w:rsid w:val="00463E3C"/>
    <w:rsid w:val="00474AF3"/>
    <w:rsid w:val="004775D2"/>
    <w:rsid w:val="00477689"/>
    <w:rsid w:val="0047783A"/>
    <w:rsid w:val="00483E26"/>
    <w:rsid w:val="0049088E"/>
    <w:rsid w:val="0049293D"/>
    <w:rsid w:val="00494168"/>
    <w:rsid w:val="004A0140"/>
    <w:rsid w:val="004A101E"/>
    <w:rsid w:val="004A149E"/>
    <w:rsid w:val="004A6563"/>
    <w:rsid w:val="004A7ED9"/>
    <w:rsid w:val="004B7463"/>
    <w:rsid w:val="004C270A"/>
    <w:rsid w:val="004C35B5"/>
    <w:rsid w:val="004C3C82"/>
    <w:rsid w:val="004C77A2"/>
    <w:rsid w:val="004D2FD8"/>
    <w:rsid w:val="004D33C9"/>
    <w:rsid w:val="004E43B2"/>
    <w:rsid w:val="004E6C5D"/>
    <w:rsid w:val="004F5C57"/>
    <w:rsid w:val="004F7A0E"/>
    <w:rsid w:val="005005D7"/>
    <w:rsid w:val="00501FF0"/>
    <w:rsid w:val="005047E0"/>
    <w:rsid w:val="00507BA0"/>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72F7"/>
    <w:rsid w:val="00582894"/>
    <w:rsid w:val="00583FF3"/>
    <w:rsid w:val="00584F28"/>
    <w:rsid w:val="00586D6C"/>
    <w:rsid w:val="00591F23"/>
    <w:rsid w:val="005921FA"/>
    <w:rsid w:val="00593430"/>
    <w:rsid w:val="00593550"/>
    <w:rsid w:val="005B0129"/>
    <w:rsid w:val="005B083F"/>
    <w:rsid w:val="005B2018"/>
    <w:rsid w:val="005B3CAB"/>
    <w:rsid w:val="005C0EA1"/>
    <w:rsid w:val="005C36B8"/>
    <w:rsid w:val="005D0163"/>
    <w:rsid w:val="005D03AA"/>
    <w:rsid w:val="005D05B0"/>
    <w:rsid w:val="005D72F7"/>
    <w:rsid w:val="005F3C51"/>
    <w:rsid w:val="005F62D0"/>
    <w:rsid w:val="00611A73"/>
    <w:rsid w:val="006219A1"/>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2095"/>
    <w:rsid w:val="00695007"/>
    <w:rsid w:val="006A5F84"/>
    <w:rsid w:val="006B0AB1"/>
    <w:rsid w:val="006B145B"/>
    <w:rsid w:val="006C2F05"/>
    <w:rsid w:val="006C513D"/>
    <w:rsid w:val="006D3BA1"/>
    <w:rsid w:val="006D3DE4"/>
    <w:rsid w:val="006D5CEE"/>
    <w:rsid w:val="006E5450"/>
    <w:rsid w:val="006E54F2"/>
    <w:rsid w:val="006E56FD"/>
    <w:rsid w:val="006E5B49"/>
    <w:rsid w:val="006E6880"/>
    <w:rsid w:val="006F43E5"/>
    <w:rsid w:val="006F596C"/>
    <w:rsid w:val="00703B91"/>
    <w:rsid w:val="00704477"/>
    <w:rsid w:val="00711C72"/>
    <w:rsid w:val="0071243A"/>
    <w:rsid w:val="00722016"/>
    <w:rsid w:val="00724C93"/>
    <w:rsid w:val="00724D0C"/>
    <w:rsid w:val="00725082"/>
    <w:rsid w:val="0073450F"/>
    <w:rsid w:val="007520CA"/>
    <w:rsid w:val="0075384B"/>
    <w:rsid w:val="007552DC"/>
    <w:rsid w:val="00760195"/>
    <w:rsid w:val="007625F7"/>
    <w:rsid w:val="00763299"/>
    <w:rsid w:val="00763B1C"/>
    <w:rsid w:val="007666CD"/>
    <w:rsid w:val="00775F12"/>
    <w:rsid w:val="00776BF7"/>
    <w:rsid w:val="00777E99"/>
    <w:rsid w:val="007858B9"/>
    <w:rsid w:val="00792A1B"/>
    <w:rsid w:val="00794EE6"/>
    <w:rsid w:val="00797C04"/>
    <w:rsid w:val="007A0045"/>
    <w:rsid w:val="007A1101"/>
    <w:rsid w:val="007A3D34"/>
    <w:rsid w:val="007A6AF5"/>
    <w:rsid w:val="007B4853"/>
    <w:rsid w:val="007B65DB"/>
    <w:rsid w:val="007C0BDD"/>
    <w:rsid w:val="007C1656"/>
    <w:rsid w:val="007C75E0"/>
    <w:rsid w:val="007D5FA2"/>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688D"/>
    <w:rsid w:val="00866B17"/>
    <w:rsid w:val="00870FD6"/>
    <w:rsid w:val="00872DA7"/>
    <w:rsid w:val="008733D3"/>
    <w:rsid w:val="008808CB"/>
    <w:rsid w:val="0088419E"/>
    <w:rsid w:val="008847D1"/>
    <w:rsid w:val="00884DDE"/>
    <w:rsid w:val="00885882"/>
    <w:rsid w:val="008859E6"/>
    <w:rsid w:val="008870C9"/>
    <w:rsid w:val="008923B0"/>
    <w:rsid w:val="00892CE9"/>
    <w:rsid w:val="008934F5"/>
    <w:rsid w:val="008A048D"/>
    <w:rsid w:val="008A0660"/>
    <w:rsid w:val="008A39B7"/>
    <w:rsid w:val="008A6DE2"/>
    <w:rsid w:val="008C4E79"/>
    <w:rsid w:val="008C5A40"/>
    <w:rsid w:val="008C5DAA"/>
    <w:rsid w:val="008D065E"/>
    <w:rsid w:val="008E40E2"/>
    <w:rsid w:val="008E5F59"/>
    <w:rsid w:val="008E7A2D"/>
    <w:rsid w:val="008F3866"/>
    <w:rsid w:val="008F4FF6"/>
    <w:rsid w:val="00903A19"/>
    <w:rsid w:val="009143FD"/>
    <w:rsid w:val="00920A51"/>
    <w:rsid w:val="00922542"/>
    <w:rsid w:val="00923EDA"/>
    <w:rsid w:val="009251E3"/>
    <w:rsid w:val="00925DBE"/>
    <w:rsid w:val="00930AD1"/>
    <w:rsid w:val="0093582A"/>
    <w:rsid w:val="0094670B"/>
    <w:rsid w:val="00950B0C"/>
    <w:rsid w:val="0097513D"/>
    <w:rsid w:val="00980A42"/>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D2938"/>
    <w:rsid w:val="009D6A3D"/>
    <w:rsid w:val="009E4F6E"/>
    <w:rsid w:val="009E6BB7"/>
    <w:rsid w:val="009F22C3"/>
    <w:rsid w:val="009F3126"/>
    <w:rsid w:val="009F7E6A"/>
    <w:rsid w:val="00A039CA"/>
    <w:rsid w:val="00A04004"/>
    <w:rsid w:val="00A11F12"/>
    <w:rsid w:val="00A1746F"/>
    <w:rsid w:val="00A2645C"/>
    <w:rsid w:val="00A41B28"/>
    <w:rsid w:val="00A5099A"/>
    <w:rsid w:val="00A512A5"/>
    <w:rsid w:val="00A512C9"/>
    <w:rsid w:val="00A539E4"/>
    <w:rsid w:val="00A56046"/>
    <w:rsid w:val="00A62073"/>
    <w:rsid w:val="00A63E3C"/>
    <w:rsid w:val="00A665A2"/>
    <w:rsid w:val="00A75650"/>
    <w:rsid w:val="00A76A6E"/>
    <w:rsid w:val="00A845B1"/>
    <w:rsid w:val="00A87E3D"/>
    <w:rsid w:val="00A90875"/>
    <w:rsid w:val="00A9597C"/>
    <w:rsid w:val="00AA24A4"/>
    <w:rsid w:val="00AA4766"/>
    <w:rsid w:val="00AA59D0"/>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2AF0"/>
    <w:rsid w:val="00C13C29"/>
    <w:rsid w:val="00C1524D"/>
    <w:rsid w:val="00C17310"/>
    <w:rsid w:val="00C20179"/>
    <w:rsid w:val="00C20F71"/>
    <w:rsid w:val="00C302E1"/>
    <w:rsid w:val="00C3235B"/>
    <w:rsid w:val="00C34E40"/>
    <w:rsid w:val="00C41328"/>
    <w:rsid w:val="00C41919"/>
    <w:rsid w:val="00C45D2B"/>
    <w:rsid w:val="00C52305"/>
    <w:rsid w:val="00C53DA3"/>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3F76"/>
    <w:rsid w:val="00CA6C68"/>
    <w:rsid w:val="00CC7DE2"/>
    <w:rsid w:val="00CD607C"/>
    <w:rsid w:val="00CD68C0"/>
    <w:rsid w:val="00CD6FC9"/>
    <w:rsid w:val="00CD7F25"/>
    <w:rsid w:val="00CF2DE2"/>
    <w:rsid w:val="00CF30C4"/>
    <w:rsid w:val="00CF6CFA"/>
    <w:rsid w:val="00D02E23"/>
    <w:rsid w:val="00D11009"/>
    <w:rsid w:val="00D131B2"/>
    <w:rsid w:val="00D136FA"/>
    <w:rsid w:val="00D23D4C"/>
    <w:rsid w:val="00D243E7"/>
    <w:rsid w:val="00D24469"/>
    <w:rsid w:val="00D24893"/>
    <w:rsid w:val="00D25711"/>
    <w:rsid w:val="00D312D2"/>
    <w:rsid w:val="00D360F2"/>
    <w:rsid w:val="00D43612"/>
    <w:rsid w:val="00D4393D"/>
    <w:rsid w:val="00D52CBF"/>
    <w:rsid w:val="00D541A5"/>
    <w:rsid w:val="00D576CA"/>
    <w:rsid w:val="00D60913"/>
    <w:rsid w:val="00D6195C"/>
    <w:rsid w:val="00D662AA"/>
    <w:rsid w:val="00D66F04"/>
    <w:rsid w:val="00D678AC"/>
    <w:rsid w:val="00D71AF3"/>
    <w:rsid w:val="00D75213"/>
    <w:rsid w:val="00D75E7A"/>
    <w:rsid w:val="00D82847"/>
    <w:rsid w:val="00D83918"/>
    <w:rsid w:val="00D83D1B"/>
    <w:rsid w:val="00D86B5F"/>
    <w:rsid w:val="00D90043"/>
    <w:rsid w:val="00D91D64"/>
    <w:rsid w:val="00D93DB5"/>
    <w:rsid w:val="00D979C6"/>
    <w:rsid w:val="00DA4AB8"/>
    <w:rsid w:val="00DC50E2"/>
    <w:rsid w:val="00DC54A0"/>
    <w:rsid w:val="00DC6C9C"/>
    <w:rsid w:val="00DD0624"/>
    <w:rsid w:val="00DD13B0"/>
    <w:rsid w:val="00DD2B6E"/>
    <w:rsid w:val="00DD5838"/>
    <w:rsid w:val="00DE13B8"/>
    <w:rsid w:val="00DE7055"/>
    <w:rsid w:val="00DE71AB"/>
    <w:rsid w:val="00DF7145"/>
    <w:rsid w:val="00DF7327"/>
    <w:rsid w:val="00DF7EE0"/>
    <w:rsid w:val="00E0295D"/>
    <w:rsid w:val="00E0396B"/>
    <w:rsid w:val="00E13CDE"/>
    <w:rsid w:val="00E14817"/>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1E1"/>
    <w:rsid w:val="00E60A37"/>
    <w:rsid w:val="00E62221"/>
    <w:rsid w:val="00E62923"/>
    <w:rsid w:val="00E653F0"/>
    <w:rsid w:val="00E66C96"/>
    <w:rsid w:val="00E730A5"/>
    <w:rsid w:val="00E76535"/>
    <w:rsid w:val="00E811F3"/>
    <w:rsid w:val="00E85F91"/>
    <w:rsid w:val="00E87734"/>
    <w:rsid w:val="00EA63E1"/>
    <w:rsid w:val="00EB2C4D"/>
    <w:rsid w:val="00EB32E9"/>
    <w:rsid w:val="00EB3F46"/>
    <w:rsid w:val="00EB45CB"/>
    <w:rsid w:val="00EB78F4"/>
    <w:rsid w:val="00EC51B6"/>
    <w:rsid w:val="00EE0ED9"/>
    <w:rsid w:val="00EE23B1"/>
    <w:rsid w:val="00EE2E55"/>
    <w:rsid w:val="00EE456E"/>
    <w:rsid w:val="00EF17BC"/>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528C"/>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E84"/>
    <w:rsid w:val="00FD23CD"/>
    <w:rsid w:val="00FD659C"/>
    <w:rsid w:val="00FD68B9"/>
    <w:rsid w:val="00FD6CB9"/>
    <w:rsid w:val="00FE3081"/>
    <w:rsid w:val="00FE3E3B"/>
    <w:rsid w:val="00FE689C"/>
    <w:rsid w:val="00FE7D87"/>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03F3D"/>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G" w:eastAsia="en-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0D9"/>
    <w:pPr>
      <w:spacing w:before="120" w:after="120"/>
    </w:pPr>
    <w:rPr>
      <w:rFonts w:ascii="Arial" w:hAnsi="Arial"/>
      <w:snapToGrid w:val="0"/>
      <w:lang w:val="en-GB"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semiHidden/>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semiHidden/>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val="en-GB" w:eastAsia="en-US"/>
    </w:rPr>
  </w:style>
  <w:style w:type="paragraph" w:customStyle="1" w:styleId="Default">
    <w:name w:val="Default"/>
    <w:rsid w:val="00E76535"/>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 w:id="10002363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owas.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europeaid/funding/communication-and-visibility-manual-eu-external-actions_en" TargetMode="External"/><Relationship Id="rId4" Type="http://schemas.openxmlformats.org/officeDocument/2006/relationships/settings" Target="settings.xml"/><Relationship Id="rId9" Type="http://schemas.openxmlformats.org/officeDocument/2006/relationships/hyperlink" Target="mailto:vtulay@ecowas.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A359-D56D-448E-93CF-40E55672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8558</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nana eremie</cp:lastModifiedBy>
  <cp:revision>6</cp:revision>
  <cp:lastPrinted>2014-02-11T14:32:00Z</cp:lastPrinted>
  <dcterms:created xsi:type="dcterms:W3CDTF">2020-03-02T22:16:00Z</dcterms:created>
  <dcterms:modified xsi:type="dcterms:W3CDTF">2020-03-02T22:34:00Z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