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DA8" w:rsidRPr="00CF54F4" w:rsidRDefault="00540DA8" w:rsidP="004069F2">
      <w:pPr>
        <w:spacing w:after="14" w:line="242" w:lineRule="auto"/>
        <w:rPr>
          <w:rFonts w:ascii="Times New Roman" w:eastAsia="Times New Roman" w:hAnsi="Times New Roman" w:cs="Times New Roman"/>
          <w:color w:val="000000"/>
          <w:sz w:val="32"/>
          <w:szCs w:val="32"/>
        </w:rPr>
      </w:pPr>
      <w:bookmarkStart w:id="0" w:name="_GoBack"/>
      <w:bookmarkEnd w:id="0"/>
    </w:p>
    <w:p w:rsidR="00540DA8" w:rsidRPr="00CF54F4" w:rsidRDefault="00540DA8" w:rsidP="00540DA8">
      <w:pPr>
        <w:spacing w:after="14" w:line="242" w:lineRule="auto"/>
        <w:jc w:val="center"/>
        <w:rPr>
          <w:rFonts w:ascii="Times New Roman" w:eastAsia="Times New Roman" w:hAnsi="Times New Roman" w:cs="Times New Roman"/>
          <w:color w:val="000000"/>
          <w:sz w:val="32"/>
          <w:szCs w:val="32"/>
        </w:rPr>
      </w:pPr>
      <w:r w:rsidRPr="00CF54F4">
        <w:rPr>
          <w:rFonts w:ascii="Times New Roman" w:eastAsia="Times New Roman" w:hAnsi="Times New Roman" w:cs="Times New Roman"/>
          <w:noProof/>
          <w:color w:val="000000"/>
          <w:sz w:val="32"/>
          <w:szCs w:val="32"/>
        </w:rPr>
        <w:drawing>
          <wp:inline distT="0" distB="0" distL="0" distR="0">
            <wp:extent cx="952500" cy="9525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40DA8" w:rsidRPr="00CF54F4" w:rsidRDefault="00540DA8" w:rsidP="00540DA8">
      <w:pPr>
        <w:spacing w:after="14" w:line="242" w:lineRule="auto"/>
        <w:jc w:val="center"/>
        <w:rPr>
          <w:rFonts w:ascii="Times New Roman" w:eastAsia="Times New Roman" w:hAnsi="Times New Roman" w:cs="Times New Roman"/>
          <w:color w:val="000000"/>
          <w:sz w:val="32"/>
          <w:szCs w:val="32"/>
        </w:rPr>
      </w:pPr>
    </w:p>
    <w:p w:rsidR="00540DA8" w:rsidRPr="004069F2" w:rsidRDefault="004069F2" w:rsidP="00773741">
      <w:pPr>
        <w:spacing w:after="14" w:line="242" w:lineRule="auto"/>
        <w:jc w:val="center"/>
        <w:rPr>
          <w:rFonts w:ascii="Century Gothic" w:eastAsia="Times New Roman" w:hAnsi="Century Gothic" w:cs="Times New Roman"/>
          <w:b/>
          <w:smallCaps/>
          <w:color w:val="000000"/>
          <w:sz w:val="24"/>
          <w:szCs w:val="24"/>
          <w:u w:val="single"/>
        </w:rPr>
      </w:pPr>
      <w:r w:rsidRPr="004069F2">
        <w:rPr>
          <w:rFonts w:ascii="Century Gothic" w:eastAsia="Times New Roman" w:hAnsi="Century Gothic" w:cs="Times New Roman"/>
          <w:b/>
          <w:smallCaps/>
          <w:color w:val="000000"/>
          <w:sz w:val="24"/>
          <w:szCs w:val="24"/>
          <w:u w:val="single"/>
        </w:rPr>
        <w:t>CONSULTANCY</w:t>
      </w:r>
      <w:r w:rsidR="00BB11E5">
        <w:rPr>
          <w:rFonts w:ascii="Century Gothic" w:eastAsia="Times New Roman" w:hAnsi="Century Gothic" w:cs="Times New Roman"/>
          <w:b/>
          <w:smallCaps/>
          <w:color w:val="000000"/>
          <w:sz w:val="24"/>
          <w:szCs w:val="24"/>
          <w:u w:val="single"/>
        </w:rPr>
        <w:t xml:space="preserve"> SERVICE </w:t>
      </w:r>
      <w:r w:rsidRPr="004069F2">
        <w:rPr>
          <w:rFonts w:ascii="Century Gothic" w:eastAsia="Times New Roman" w:hAnsi="Century Gothic" w:cs="Times New Roman"/>
          <w:b/>
          <w:smallCaps/>
          <w:color w:val="000000"/>
          <w:sz w:val="24"/>
          <w:szCs w:val="24"/>
          <w:u w:val="single"/>
        </w:rPr>
        <w:t xml:space="preserve"> </w:t>
      </w:r>
      <w:r w:rsidR="00540DA8" w:rsidRPr="004069F2">
        <w:rPr>
          <w:rFonts w:ascii="Century Gothic" w:eastAsia="Times New Roman" w:hAnsi="Century Gothic" w:cs="Times New Roman"/>
          <w:b/>
          <w:smallCaps/>
          <w:color w:val="000000"/>
          <w:sz w:val="24"/>
          <w:szCs w:val="24"/>
          <w:u w:val="single"/>
        </w:rPr>
        <w:t>TO DEVELOP AN OPERATIONAL FRAMEWORK FOR THE ECOWAS REGIONAL COMPETITION AUTHORITY, ACCOMPANYING REGULATIONS AND TECHNICAL SUPPORT FOR CAPACITY BUILDING</w:t>
      </w:r>
    </w:p>
    <w:p w:rsidR="004069F2" w:rsidRDefault="004069F2" w:rsidP="00773741">
      <w:pPr>
        <w:spacing w:after="14" w:line="242" w:lineRule="auto"/>
        <w:jc w:val="center"/>
        <w:rPr>
          <w:rFonts w:ascii="Century Gothic" w:eastAsia="Times New Roman" w:hAnsi="Century Gothic" w:cs="Times New Roman"/>
          <w:color w:val="000000"/>
          <w:sz w:val="24"/>
          <w:szCs w:val="24"/>
        </w:rPr>
      </w:pPr>
    </w:p>
    <w:p w:rsidR="004069F2" w:rsidRPr="004069F2" w:rsidRDefault="004069F2" w:rsidP="00773741">
      <w:pPr>
        <w:spacing w:after="14" w:line="242" w:lineRule="auto"/>
        <w:jc w:val="center"/>
        <w:rPr>
          <w:rFonts w:ascii="Century Gothic" w:eastAsia="Times New Roman" w:hAnsi="Century Gothic" w:cs="Times New Roman"/>
          <w:color w:val="000000"/>
          <w:sz w:val="24"/>
          <w:szCs w:val="24"/>
        </w:rPr>
      </w:pPr>
    </w:p>
    <w:tbl>
      <w:tblPr>
        <w:tblW w:w="4191" w:type="pct"/>
        <w:tblCellSpacing w:w="0" w:type="dxa"/>
        <w:shd w:val="clear" w:color="auto" w:fill="6CA8F9"/>
        <w:tblCellMar>
          <w:top w:w="45" w:type="dxa"/>
          <w:left w:w="45" w:type="dxa"/>
          <w:bottom w:w="45" w:type="dxa"/>
          <w:right w:w="45" w:type="dxa"/>
        </w:tblCellMar>
        <w:tblLook w:val="0000" w:firstRow="0" w:lastRow="0" w:firstColumn="0" w:lastColumn="0" w:noHBand="0" w:noVBand="0"/>
      </w:tblPr>
      <w:tblGrid>
        <w:gridCol w:w="7846"/>
      </w:tblGrid>
      <w:tr w:rsidR="004069F2" w:rsidRPr="003040DF" w:rsidTr="00517D77">
        <w:trPr>
          <w:trHeight w:val="233"/>
          <w:tblCellSpacing w:w="0" w:type="dxa"/>
        </w:trPr>
        <w:tc>
          <w:tcPr>
            <w:tcW w:w="8079" w:type="dxa"/>
            <w:shd w:val="clear" w:color="auto" w:fill="FFFFFF"/>
            <w:vAlign w:val="center"/>
          </w:tcPr>
          <w:p w:rsidR="004069F2" w:rsidRPr="003040DF" w:rsidRDefault="004069F2" w:rsidP="00517D77">
            <w:pPr>
              <w:spacing w:after="0"/>
              <w:jc w:val="both"/>
              <w:rPr>
                <w:rFonts w:ascii="Arial" w:eastAsia="Times New Roman" w:hAnsi="Arial" w:cs="Arial"/>
                <w:b/>
                <w:lang w:val="en-GB" w:eastAsia="en-GB"/>
              </w:rPr>
            </w:pPr>
            <w:r w:rsidRPr="003040DF">
              <w:rPr>
                <w:rFonts w:ascii="Arial" w:eastAsia="Times New Roman" w:hAnsi="Arial" w:cs="Arial"/>
                <w:b/>
                <w:lang w:val="en-GB" w:eastAsia="en-GB"/>
              </w:rPr>
              <w:t xml:space="preserve">From : </w:t>
            </w:r>
            <w:r w:rsidR="00BB11E5" w:rsidRPr="00A373C0">
              <w:rPr>
                <w:rFonts w:ascii="Arial" w:eastAsia="Times New Roman" w:hAnsi="Arial" w:cs="Arial"/>
                <w:b/>
                <w:lang w:val="en-GB" w:eastAsia="en-GB"/>
              </w:rPr>
              <w:t>12/03/2019;   To : 28/03</w:t>
            </w:r>
            <w:r w:rsidRPr="00A373C0">
              <w:rPr>
                <w:rFonts w:ascii="Arial" w:eastAsia="Times New Roman" w:hAnsi="Arial" w:cs="Arial"/>
                <w:b/>
                <w:lang w:val="en-GB" w:eastAsia="en-GB"/>
              </w:rPr>
              <w:t xml:space="preserve">/2019 </w:t>
            </w:r>
          </w:p>
        </w:tc>
      </w:tr>
      <w:tr w:rsidR="004069F2" w:rsidRPr="003040DF" w:rsidTr="00517D77">
        <w:trPr>
          <w:trHeight w:val="285"/>
          <w:tblCellSpacing w:w="0" w:type="dxa"/>
        </w:trPr>
        <w:tc>
          <w:tcPr>
            <w:tcW w:w="8079" w:type="dxa"/>
            <w:shd w:val="clear" w:color="auto" w:fill="FFFFFF"/>
            <w:vAlign w:val="center"/>
          </w:tcPr>
          <w:p w:rsidR="004069F2" w:rsidRPr="003040DF" w:rsidRDefault="004069F2" w:rsidP="00517D77">
            <w:pPr>
              <w:spacing w:after="0" w:line="360" w:lineRule="auto"/>
              <w:jc w:val="both"/>
              <w:rPr>
                <w:rFonts w:ascii="Arial" w:eastAsia="Times New Roman" w:hAnsi="Arial" w:cs="Arial"/>
                <w:b/>
                <w:lang w:val="en-GB" w:eastAsia="en-GB"/>
              </w:rPr>
            </w:pPr>
            <w:r w:rsidRPr="003040DF">
              <w:rPr>
                <w:rFonts w:ascii="Arial" w:eastAsia="Times New Roman" w:hAnsi="Arial" w:cs="Arial"/>
                <w:b/>
                <w:lang w:val="en-GB" w:eastAsia="en-GB"/>
              </w:rPr>
              <w:t>Client : ECOWAS COMMISSION</w:t>
            </w:r>
          </w:p>
        </w:tc>
      </w:tr>
      <w:tr w:rsidR="004069F2" w:rsidRPr="003040DF" w:rsidTr="00517D77">
        <w:trPr>
          <w:trHeight w:val="302"/>
          <w:tblCellSpacing w:w="0" w:type="dxa"/>
        </w:trPr>
        <w:tc>
          <w:tcPr>
            <w:tcW w:w="8079" w:type="dxa"/>
            <w:shd w:val="clear" w:color="auto" w:fill="FFFFFF"/>
            <w:vAlign w:val="center"/>
          </w:tcPr>
          <w:p w:rsidR="004069F2" w:rsidRPr="003040DF" w:rsidRDefault="004069F2" w:rsidP="00517D77">
            <w:pPr>
              <w:spacing w:after="0" w:line="360" w:lineRule="auto"/>
              <w:jc w:val="both"/>
              <w:rPr>
                <w:rFonts w:ascii="Arial" w:eastAsia="Times New Roman" w:hAnsi="Arial" w:cs="Arial"/>
                <w:b/>
                <w:lang w:val="en-GB" w:eastAsia="en-GB"/>
              </w:rPr>
            </w:pPr>
            <w:r w:rsidRPr="003040DF">
              <w:rPr>
                <w:rFonts w:ascii="Arial" w:eastAsia="Times New Roman" w:hAnsi="Arial" w:cs="Arial"/>
                <w:b/>
                <w:lang w:val="en-GB" w:eastAsia="en-GB"/>
              </w:rPr>
              <w:t>Type : Expressions of Interest</w:t>
            </w:r>
          </w:p>
        </w:tc>
      </w:tr>
    </w:tbl>
    <w:p w:rsidR="00540DA8" w:rsidRPr="00CF54F4" w:rsidRDefault="00540DA8" w:rsidP="00540DA8">
      <w:pPr>
        <w:spacing w:after="14" w:line="242" w:lineRule="auto"/>
        <w:rPr>
          <w:rFonts w:ascii="Times New Roman" w:eastAsia="Times New Roman" w:hAnsi="Times New Roman" w:cs="Times New Roman"/>
          <w:color w:val="000000"/>
          <w:sz w:val="32"/>
          <w:szCs w:val="32"/>
        </w:rPr>
      </w:pPr>
    </w:p>
    <w:p w:rsidR="00540DA8" w:rsidRDefault="00540DA8" w:rsidP="007668F5">
      <w:pPr>
        <w:pStyle w:val="ListParagraph"/>
        <w:numPr>
          <w:ilvl w:val="0"/>
          <w:numId w:val="9"/>
        </w:numPr>
        <w:spacing w:after="14" w:line="242" w:lineRule="auto"/>
        <w:rPr>
          <w:rFonts w:ascii="Times New Roman" w:eastAsia="Times New Roman" w:hAnsi="Times New Roman" w:cs="Times New Roman"/>
          <w:b/>
          <w:color w:val="000000"/>
          <w:sz w:val="28"/>
          <w:szCs w:val="28"/>
        </w:rPr>
      </w:pPr>
      <w:r w:rsidRPr="00055A6A">
        <w:rPr>
          <w:rFonts w:ascii="Times New Roman" w:eastAsia="Times New Roman" w:hAnsi="Times New Roman" w:cs="Times New Roman"/>
          <w:b/>
          <w:color w:val="000000"/>
          <w:sz w:val="28"/>
          <w:szCs w:val="28"/>
        </w:rPr>
        <w:t>Background</w:t>
      </w:r>
    </w:p>
    <w:p w:rsidR="00D71496" w:rsidRPr="007668F5" w:rsidRDefault="00D71496" w:rsidP="00D71496">
      <w:pPr>
        <w:pStyle w:val="ListParagraph"/>
        <w:spacing w:after="14" w:line="242" w:lineRule="auto"/>
        <w:ind w:left="1080"/>
        <w:rPr>
          <w:rFonts w:ascii="Times New Roman" w:eastAsia="Times New Roman" w:hAnsi="Times New Roman" w:cs="Times New Roman"/>
          <w:b/>
          <w:color w:val="000000"/>
          <w:sz w:val="28"/>
          <w:szCs w:val="28"/>
        </w:rPr>
      </w:pPr>
    </w:p>
    <w:p w:rsidR="00540DA8" w:rsidRPr="00946F2A" w:rsidRDefault="00540DA8" w:rsidP="00773741">
      <w:pPr>
        <w:spacing w:after="14" w:line="242" w:lineRule="auto"/>
        <w:jc w:val="both"/>
        <w:rPr>
          <w:rFonts w:ascii="Century Gothic" w:eastAsia="Times New Roman" w:hAnsi="Century Gothic" w:cs="Times New Roman"/>
          <w:color w:val="000000"/>
        </w:rPr>
      </w:pPr>
      <w:r w:rsidRPr="00946F2A">
        <w:rPr>
          <w:rFonts w:ascii="Century Gothic" w:eastAsia="Times New Roman" w:hAnsi="Century Gothic" w:cs="Times New Roman"/>
          <w:color w:val="000000"/>
        </w:rPr>
        <w:t>The ECOWAS Regional Competition Authority (</w:t>
      </w:r>
      <w:r w:rsidR="00A62EFB" w:rsidRPr="00946F2A">
        <w:rPr>
          <w:rFonts w:ascii="Century Gothic" w:eastAsia="Times New Roman" w:hAnsi="Century Gothic" w:cs="Times New Roman"/>
          <w:color w:val="000000"/>
        </w:rPr>
        <w:t>E</w:t>
      </w:r>
      <w:r w:rsidRPr="00946F2A">
        <w:rPr>
          <w:rFonts w:ascii="Century Gothic" w:eastAsia="Times New Roman" w:hAnsi="Century Gothic" w:cs="Times New Roman"/>
          <w:color w:val="000000"/>
        </w:rPr>
        <w:t xml:space="preserve">RCA) </w:t>
      </w:r>
      <w:r w:rsidR="00CF54F4" w:rsidRPr="00946F2A">
        <w:rPr>
          <w:rFonts w:ascii="Century Gothic" w:eastAsia="Times New Roman" w:hAnsi="Century Gothic" w:cs="Times New Roman"/>
          <w:color w:val="000000"/>
        </w:rPr>
        <w:t>is a Specialized Agency of ECOWAS mandated</w:t>
      </w:r>
      <w:r w:rsidRPr="00946F2A">
        <w:rPr>
          <w:rFonts w:ascii="Century Gothic" w:eastAsia="Times New Roman" w:hAnsi="Century Gothic" w:cs="Times New Roman"/>
          <w:color w:val="000000"/>
        </w:rPr>
        <w:t xml:space="preserve"> to promote and encourage competition in the ECOWAS region by preventing practices that deter the efficient operation of markets and to foster and enable the effective functioning of markets across the region. As firms expand their operations across national borders and exploit opportunities for economies of scale,</w:t>
      </w:r>
      <w:r w:rsidR="00773741" w:rsidRPr="00946F2A">
        <w:rPr>
          <w:rFonts w:ascii="Century Gothic" w:eastAsia="Times New Roman" w:hAnsi="Century Gothic" w:cs="Times New Roman"/>
          <w:color w:val="000000"/>
        </w:rPr>
        <w:t xml:space="preserve"> </w:t>
      </w:r>
      <w:r w:rsidRPr="00946F2A">
        <w:rPr>
          <w:rFonts w:ascii="Century Gothic" w:eastAsia="Times New Roman" w:hAnsi="Century Gothic" w:cs="Times New Roman"/>
          <w:color w:val="000000"/>
        </w:rPr>
        <w:t xml:space="preserve">the ERCA must be equipped to combat and mitigate the potential impact of anti-competitive behavior on growth, trade, and integration. </w:t>
      </w:r>
    </w:p>
    <w:p w:rsidR="00540DA8" w:rsidRPr="00946F2A" w:rsidRDefault="00540DA8" w:rsidP="00773741">
      <w:pPr>
        <w:spacing w:after="14" w:line="242" w:lineRule="auto"/>
        <w:ind w:firstLine="360"/>
        <w:jc w:val="both"/>
        <w:rPr>
          <w:rFonts w:ascii="Century Gothic" w:eastAsia="Times New Roman" w:hAnsi="Century Gothic" w:cs="Times New Roman"/>
          <w:color w:val="000000"/>
        </w:rPr>
      </w:pPr>
    </w:p>
    <w:p w:rsidR="00151DA3" w:rsidRPr="00946F2A" w:rsidRDefault="00540DA8" w:rsidP="00773741">
      <w:pPr>
        <w:spacing w:after="14" w:line="242" w:lineRule="auto"/>
        <w:jc w:val="both"/>
        <w:rPr>
          <w:rFonts w:ascii="Century Gothic" w:eastAsia="Times New Roman" w:hAnsi="Century Gothic" w:cs="Times New Roman"/>
          <w:color w:val="000000"/>
        </w:rPr>
      </w:pPr>
      <w:r w:rsidRPr="00946F2A">
        <w:rPr>
          <w:rFonts w:ascii="Century Gothic" w:eastAsia="Times New Roman" w:hAnsi="Century Gothic" w:cs="Times New Roman"/>
          <w:color w:val="000000"/>
        </w:rPr>
        <w:t>The ERCA</w:t>
      </w:r>
      <w:r w:rsidR="00B82109">
        <w:rPr>
          <w:rFonts w:ascii="Century Gothic" w:eastAsia="Times New Roman" w:hAnsi="Century Gothic" w:cs="Times New Roman"/>
          <w:color w:val="000000"/>
        </w:rPr>
        <w:t xml:space="preserve"> intends to use part of his budget for the year 2019 to finance the cost of the recruitment </w:t>
      </w:r>
      <w:r w:rsidR="00B82109" w:rsidRPr="00946F2A">
        <w:rPr>
          <w:rFonts w:ascii="Century Gothic" w:eastAsia="Times New Roman" w:hAnsi="Century Gothic" w:cs="Times New Roman"/>
          <w:color w:val="000000"/>
        </w:rPr>
        <w:t>a</w:t>
      </w:r>
      <w:r w:rsidR="00A373C0">
        <w:rPr>
          <w:rFonts w:ascii="Century Gothic" w:eastAsia="Times New Roman" w:hAnsi="Century Gothic" w:cs="Times New Roman"/>
          <w:b/>
          <w:color w:val="000000"/>
        </w:rPr>
        <w:t xml:space="preserve"> Senior </w:t>
      </w:r>
      <w:r w:rsidR="00B82109">
        <w:rPr>
          <w:rFonts w:ascii="Century Gothic" w:eastAsia="Times New Roman" w:hAnsi="Century Gothic" w:cs="Times New Roman"/>
          <w:b/>
          <w:color w:val="000000"/>
        </w:rPr>
        <w:t>C</w:t>
      </w:r>
      <w:r w:rsidRPr="00C15630">
        <w:rPr>
          <w:rFonts w:ascii="Century Gothic" w:eastAsia="Times New Roman" w:hAnsi="Century Gothic" w:cs="Times New Roman"/>
          <w:b/>
          <w:color w:val="000000"/>
        </w:rPr>
        <w:t>onsultant</w:t>
      </w:r>
      <w:r w:rsidRPr="00946F2A">
        <w:rPr>
          <w:rFonts w:ascii="Century Gothic" w:eastAsia="Times New Roman" w:hAnsi="Century Gothic" w:cs="Times New Roman"/>
          <w:color w:val="000000"/>
        </w:rPr>
        <w:t xml:space="preserve"> to advise </w:t>
      </w:r>
      <w:r w:rsidR="00CF54F4" w:rsidRPr="00946F2A">
        <w:rPr>
          <w:rFonts w:ascii="Century Gothic" w:eastAsia="Times New Roman" w:hAnsi="Century Gothic" w:cs="Times New Roman"/>
          <w:color w:val="000000"/>
        </w:rPr>
        <w:t>the President of the Commission and the</w:t>
      </w:r>
      <w:r w:rsidRPr="00946F2A">
        <w:rPr>
          <w:rFonts w:ascii="Century Gothic" w:eastAsia="Times New Roman" w:hAnsi="Century Gothic" w:cs="Times New Roman"/>
          <w:color w:val="000000"/>
        </w:rPr>
        <w:t xml:space="preserve"> Senior Management of</w:t>
      </w:r>
      <w:r w:rsidR="00CF54F4" w:rsidRPr="00946F2A">
        <w:rPr>
          <w:rFonts w:ascii="Century Gothic" w:eastAsia="Times New Roman" w:hAnsi="Century Gothic" w:cs="Times New Roman"/>
          <w:color w:val="000000"/>
        </w:rPr>
        <w:t xml:space="preserve"> the ERCA</w:t>
      </w:r>
      <w:r w:rsidRPr="00946F2A">
        <w:rPr>
          <w:rFonts w:ascii="Century Gothic" w:eastAsia="Times New Roman" w:hAnsi="Century Gothic" w:cs="Times New Roman"/>
          <w:color w:val="000000"/>
        </w:rPr>
        <w:t xml:space="preserve"> on the entire spectrum of activities and tasks necessary to effectively deploy and implement the goals and objectives of the ERCA. A high priority for the ERCA is to understand and develop the key initiatives necessary to ensure improvement of the ECOWAS investment climate for domestic and foreign investors and the competitiveness of SME’s, domestic firms and institutions across all sectors. </w:t>
      </w:r>
    </w:p>
    <w:p w:rsidR="00BB11E5" w:rsidRDefault="00BB11E5" w:rsidP="00ED3ECC">
      <w:pPr>
        <w:spacing w:after="14" w:line="242" w:lineRule="auto"/>
        <w:jc w:val="both"/>
        <w:rPr>
          <w:rFonts w:ascii="Century Gothic" w:eastAsia="Times New Roman" w:hAnsi="Century Gothic" w:cs="Times New Roman"/>
          <w:color w:val="000000"/>
        </w:rPr>
      </w:pPr>
    </w:p>
    <w:p w:rsidR="00BB11E5" w:rsidRDefault="00BB11E5" w:rsidP="00ED3ECC">
      <w:pPr>
        <w:spacing w:after="14" w:line="242" w:lineRule="auto"/>
        <w:jc w:val="both"/>
        <w:rPr>
          <w:rFonts w:ascii="Century Gothic" w:eastAsia="Times New Roman" w:hAnsi="Century Gothic" w:cs="Times New Roman"/>
          <w:b/>
          <w:color w:val="000000"/>
        </w:rPr>
      </w:pPr>
      <w:r w:rsidRPr="00BB11E5">
        <w:rPr>
          <w:rFonts w:ascii="Century Gothic" w:eastAsia="Times New Roman" w:hAnsi="Century Gothic" w:cs="Times New Roman"/>
          <w:b/>
          <w:color w:val="000000"/>
        </w:rPr>
        <w:t xml:space="preserve">II   OBJECTIVE </w:t>
      </w:r>
    </w:p>
    <w:p w:rsidR="00BB11E5" w:rsidRDefault="00BB11E5" w:rsidP="00ED3ECC">
      <w:pPr>
        <w:spacing w:after="14" w:line="242" w:lineRule="auto"/>
        <w:jc w:val="both"/>
        <w:rPr>
          <w:rFonts w:ascii="Century Gothic" w:eastAsia="Times New Roman" w:hAnsi="Century Gothic" w:cs="Times New Roman"/>
          <w:b/>
          <w:color w:val="000000"/>
        </w:rPr>
      </w:pPr>
    </w:p>
    <w:p w:rsidR="00BB11E5" w:rsidRDefault="00BB11E5" w:rsidP="00ED3ECC">
      <w:pPr>
        <w:spacing w:after="14" w:line="242" w:lineRule="auto"/>
        <w:jc w:val="both"/>
        <w:rPr>
          <w:rFonts w:ascii="Century Gothic" w:eastAsia="Times New Roman" w:hAnsi="Century Gothic" w:cs="Times New Roman"/>
          <w:b/>
          <w:color w:val="000000"/>
        </w:rPr>
      </w:pPr>
      <w:r w:rsidRPr="003D603C">
        <w:rPr>
          <w:rFonts w:ascii="Century Gothic" w:eastAsia="Times New Roman" w:hAnsi="Century Gothic" w:cs="Times New Roman"/>
          <w:color w:val="000000"/>
        </w:rPr>
        <w:t>The overall objective of the consultancy is to provide professional advice</w:t>
      </w:r>
      <w:r w:rsidRPr="00946F2A">
        <w:rPr>
          <w:rFonts w:ascii="Century Gothic" w:eastAsia="Times New Roman" w:hAnsi="Century Gothic" w:cs="Times New Roman"/>
          <w:color w:val="000000"/>
        </w:rPr>
        <w:t xml:space="preserve"> </w:t>
      </w:r>
      <w:r>
        <w:rPr>
          <w:rFonts w:ascii="Century Gothic" w:eastAsia="Times New Roman" w:hAnsi="Century Gothic" w:cs="Times New Roman"/>
          <w:color w:val="000000"/>
        </w:rPr>
        <w:t xml:space="preserve">to </w:t>
      </w:r>
      <w:r w:rsidRPr="00946F2A">
        <w:rPr>
          <w:rFonts w:ascii="Century Gothic" w:eastAsia="Times New Roman" w:hAnsi="Century Gothic" w:cs="Times New Roman"/>
          <w:color w:val="000000"/>
        </w:rPr>
        <w:t xml:space="preserve">the President of the </w:t>
      </w:r>
      <w:r>
        <w:rPr>
          <w:rFonts w:ascii="Century Gothic" w:eastAsia="Times New Roman" w:hAnsi="Century Gothic" w:cs="Times New Roman"/>
          <w:color w:val="000000"/>
        </w:rPr>
        <w:t xml:space="preserve">ECOWAS </w:t>
      </w:r>
      <w:r w:rsidRPr="00946F2A">
        <w:rPr>
          <w:rFonts w:ascii="Century Gothic" w:eastAsia="Times New Roman" w:hAnsi="Century Gothic" w:cs="Times New Roman"/>
          <w:color w:val="000000"/>
        </w:rPr>
        <w:t>Commission and the Senior Management of the ERCA on the entire spectrum of activities and tasks necessary to effectively deploy and implement the goals and objectives of the ERCA</w:t>
      </w:r>
      <w:r>
        <w:rPr>
          <w:rFonts w:ascii="Century Gothic" w:eastAsia="Times New Roman" w:hAnsi="Century Gothic" w:cs="Times New Roman"/>
          <w:color w:val="000000"/>
        </w:rPr>
        <w:t xml:space="preserve"> as an Agency of ECOWAS</w:t>
      </w:r>
    </w:p>
    <w:p w:rsidR="00BB11E5" w:rsidRPr="00BB11E5" w:rsidRDefault="00BB11E5" w:rsidP="00ED3ECC">
      <w:pPr>
        <w:spacing w:after="14" w:line="242" w:lineRule="auto"/>
        <w:jc w:val="both"/>
        <w:rPr>
          <w:rFonts w:ascii="Century Gothic" w:eastAsia="Times New Roman" w:hAnsi="Century Gothic" w:cs="Times New Roman"/>
          <w:b/>
          <w:color w:val="000000"/>
        </w:rPr>
      </w:pPr>
    </w:p>
    <w:p w:rsidR="00151DA3" w:rsidRPr="00946F2A" w:rsidRDefault="00540DA8" w:rsidP="00ED3ECC">
      <w:pPr>
        <w:spacing w:after="14" w:line="242" w:lineRule="auto"/>
        <w:jc w:val="both"/>
        <w:rPr>
          <w:rFonts w:ascii="Century Gothic" w:eastAsia="Times New Roman" w:hAnsi="Century Gothic" w:cs="Times New Roman"/>
          <w:color w:val="000000"/>
        </w:rPr>
      </w:pPr>
      <w:r w:rsidRPr="00946F2A">
        <w:rPr>
          <w:rFonts w:ascii="Century Gothic" w:eastAsia="Times New Roman" w:hAnsi="Century Gothic" w:cs="Times New Roman"/>
          <w:color w:val="000000"/>
        </w:rPr>
        <w:lastRenderedPageBreak/>
        <w:t xml:space="preserve">The </w:t>
      </w:r>
      <w:r w:rsidR="00151DA3" w:rsidRPr="00946F2A">
        <w:rPr>
          <w:rFonts w:ascii="Century Gothic" w:eastAsia="Times New Roman" w:hAnsi="Century Gothic" w:cs="Times New Roman"/>
          <w:color w:val="000000"/>
        </w:rPr>
        <w:t>C</w:t>
      </w:r>
      <w:r w:rsidRPr="00946F2A">
        <w:rPr>
          <w:rFonts w:ascii="Century Gothic" w:eastAsia="Times New Roman" w:hAnsi="Century Gothic" w:cs="Times New Roman"/>
          <w:color w:val="000000"/>
        </w:rPr>
        <w:t>onsultant will undertake policy, technical and advisory work on the promotion of competition and effective implementation of competition policy and the operational fram</w:t>
      </w:r>
      <w:r w:rsidR="009D7BF1" w:rsidRPr="00946F2A">
        <w:rPr>
          <w:rFonts w:ascii="Century Gothic" w:eastAsia="Times New Roman" w:hAnsi="Century Gothic" w:cs="Times New Roman"/>
          <w:color w:val="000000"/>
        </w:rPr>
        <w:t>ework/initiatives of the ERCA on</w:t>
      </w:r>
      <w:r w:rsidRPr="00946F2A">
        <w:rPr>
          <w:rFonts w:ascii="Century Gothic" w:eastAsia="Times New Roman" w:hAnsi="Century Gothic" w:cs="Times New Roman"/>
          <w:color w:val="000000"/>
        </w:rPr>
        <w:t xml:space="preserve"> the economy and</w:t>
      </w:r>
      <w:r w:rsidR="009D7BF1" w:rsidRPr="00946F2A">
        <w:rPr>
          <w:rFonts w:ascii="Century Gothic" w:eastAsia="Times New Roman" w:hAnsi="Century Gothic" w:cs="Times New Roman"/>
          <w:color w:val="000000"/>
        </w:rPr>
        <w:t xml:space="preserve"> at</w:t>
      </w:r>
      <w:r w:rsidRPr="00946F2A">
        <w:rPr>
          <w:rFonts w:ascii="Century Gothic" w:eastAsia="Times New Roman" w:hAnsi="Century Gothic" w:cs="Times New Roman"/>
          <w:color w:val="000000"/>
        </w:rPr>
        <w:t xml:space="preserve"> </w:t>
      </w:r>
      <w:r w:rsidR="00B82109" w:rsidRPr="00946F2A">
        <w:rPr>
          <w:rFonts w:ascii="Century Gothic" w:eastAsia="Times New Roman" w:hAnsi="Century Gothic" w:cs="Times New Roman"/>
          <w:color w:val="000000"/>
        </w:rPr>
        <w:t>sectorial</w:t>
      </w:r>
      <w:r w:rsidRPr="00946F2A">
        <w:rPr>
          <w:rFonts w:ascii="Century Gothic" w:eastAsia="Times New Roman" w:hAnsi="Century Gothic" w:cs="Times New Roman"/>
          <w:color w:val="000000"/>
        </w:rPr>
        <w:t xml:space="preserve"> level. </w:t>
      </w:r>
    </w:p>
    <w:p w:rsidR="00540DA8" w:rsidRPr="00946F2A" w:rsidRDefault="00540DA8" w:rsidP="00B82109">
      <w:pPr>
        <w:spacing w:after="14" w:line="242" w:lineRule="auto"/>
        <w:rPr>
          <w:rFonts w:ascii="Century Gothic" w:eastAsia="Times New Roman" w:hAnsi="Century Gothic" w:cs="Times New Roman"/>
          <w:color w:val="000000"/>
        </w:rPr>
      </w:pPr>
    </w:p>
    <w:p w:rsidR="00540DA8" w:rsidRPr="00BB11E5" w:rsidRDefault="00BB11E5" w:rsidP="00BB11E5">
      <w:pPr>
        <w:spacing w:after="14" w:line="242" w:lineRule="auto"/>
        <w:rPr>
          <w:rFonts w:ascii="Century Gothic" w:eastAsia="Times New Roman" w:hAnsi="Century Gothic" w:cs="Times New Roman"/>
          <w:b/>
          <w:color w:val="000000"/>
        </w:rPr>
      </w:pPr>
      <w:r>
        <w:rPr>
          <w:rFonts w:ascii="Century Gothic" w:eastAsia="Times New Roman" w:hAnsi="Century Gothic" w:cs="Times New Roman"/>
          <w:b/>
          <w:color w:val="000000"/>
        </w:rPr>
        <w:t xml:space="preserve">III </w:t>
      </w:r>
      <w:r w:rsidR="00540DA8" w:rsidRPr="00BB11E5">
        <w:rPr>
          <w:rFonts w:ascii="Century Gothic" w:eastAsia="Times New Roman" w:hAnsi="Century Gothic" w:cs="Times New Roman"/>
          <w:b/>
          <w:color w:val="000000"/>
        </w:rPr>
        <w:t>Scope of Consultant’s Activities</w:t>
      </w:r>
    </w:p>
    <w:p w:rsidR="00540DA8" w:rsidRPr="00946F2A" w:rsidRDefault="00540DA8" w:rsidP="00540DA8">
      <w:pPr>
        <w:pStyle w:val="ListParagraph"/>
        <w:spacing w:after="14" w:line="242" w:lineRule="auto"/>
        <w:ind w:left="1080"/>
        <w:rPr>
          <w:rFonts w:ascii="Century Gothic" w:eastAsia="Times New Roman" w:hAnsi="Century Gothic" w:cs="Times New Roman"/>
          <w:color w:val="000000"/>
        </w:rPr>
      </w:pPr>
    </w:p>
    <w:p w:rsidR="00540DA8" w:rsidRPr="00946F2A" w:rsidRDefault="00540DA8" w:rsidP="00B65C9D">
      <w:pPr>
        <w:spacing w:after="14" w:line="242" w:lineRule="auto"/>
        <w:rPr>
          <w:rFonts w:ascii="Century Gothic" w:eastAsia="Times New Roman" w:hAnsi="Century Gothic" w:cs="Times New Roman"/>
          <w:color w:val="000000"/>
        </w:rPr>
      </w:pPr>
      <w:r w:rsidRPr="00946F2A">
        <w:rPr>
          <w:rFonts w:ascii="Century Gothic" w:eastAsia="Times New Roman" w:hAnsi="Century Gothic" w:cs="Times New Roman"/>
          <w:color w:val="000000"/>
        </w:rPr>
        <w:t xml:space="preserve">As part of a program of support to launch the ERCA and align it with strategic priorities of the Commission, the </w:t>
      </w:r>
      <w:r w:rsidR="00CF54F4" w:rsidRPr="00946F2A">
        <w:rPr>
          <w:rFonts w:ascii="Century Gothic" w:eastAsia="Times New Roman" w:hAnsi="Century Gothic" w:cs="Times New Roman"/>
          <w:color w:val="000000"/>
        </w:rPr>
        <w:t>C</w:t>
      </w:r>
      <w:r w:rsidRPr="00946F2A">
        <w:rPr>
          <w:rFonts w:ascii="Century Gothic" w:eastAsia="Times New Roman" w:hAnsi="Century Gothic" w:cs="Times New Roman"/>
          <w:color w:val="000000"/>
        </w:rPr>
        <w:t>onsultant will:</w:t>
      </w:r>
    </w:p>
    <w:p w:rsidR="00540DA8" w:rsidRPr="00946F2A" w:rsidRDefault="00540DA8" w:rsidP="00540DA8">
      <w:pPr>
        <w:spacing w:after="14" w:line="242" w:lineRule="auto"/>
        <w:ind w:firstLine="360"/>
        <w:rPr>
          <w:rFonts w:ascii="Century Gothic" w:eastAsia="Times New Roman" w:hAnsi="Century Gothic" w:cs="Times New Roman"/>
          <w:color w:val="000000"/>
        </w:rPr>
      </w:pPr>
    </w:p>
    <w:p w:rsidR="00A62EFB" w:rsidRPr="00946F2A" w:rsidRDefault="00540DA8" w:rsidP="00B65C9D">
      <w:pPr>
        <w:pStyle w:val="ListParagraph"/>
        <w:numPr>
          <w:ilvl w:val="0"/>
          <w:numId w:val="16"/>
        </w:numPr>
        <w:spacing w:after="14" w:line="242" w:lineRule="auto"/>
        <w:jc w:val="both"/>
        <w:rPr>
          <w:rFonts w:ascii="Century Gothic" w:eastAsia="Times New Roman" w:hAnsi="Century Gothic" w:cs="Times New Roman"/>
          <w:color w:val="000000"/>
        </w:rPr>
      </w:pPr>
      <w:r w:rsidRPr="00946F2A">
        <w:rPr>
          <w:rFonts w:ascii="Century Gothic" w:eastAsia="Times New Roman" w:hAnsi="Century Gothic" w:cs="Times New Roman"/>
          <w:color w:val="000000"/>
        </w:rPr>
        <w:t>Conduct an assessment of the ERCA’s legal framework to develop appropriate operational tools, for example</w:t>
      </w:r>
      <w:r w:rsidR="00A62EFB" w:rsidRPr="00946F2A">
        <w:rPr>
          <w:rFonts w:ascii="Century Gothic" w:eastAsia="Times New Roman" w:hAnsi="Century Gothic" w:cs="Times New Roman"/>
          <w:color w:val="000000"/>
        </w:rPr>
        <w:t xml:space="preserve">, </w:t>
      </w:r>
      <w:r w:rsidRPr="00946F2A">
        <w:rPr>
          <w:rFonts w:ascii="Century Gothic" w:eastAsia="Times New Roman" w:hAnsi="Century Gothic" w:cs="Times New Roman"/>
          <w:color w:val="000000"/>
        </w:rPr>
        <w:t xml:space="preserve"> Merger </w:t>
      </w:r>
      <w:r w:rsidR="009D7BF1" w:rsidRPr="00946F2A">
        <w:rPr>
          <w:rFonts w:ascii="Century Gothic" w:eastAsia="Times New Roman" w:hAnsi="Century Gothic" w:cs="Times New Roman"/>
          <w:color w:val="000000"/>
        </w:rPr>
        <w:t xml:space="preserve">Rules and </w:t>
      </w:r>
      <w:r w:rsidRPr="00946F2A">
        <w:rPr>
          <w:rFonts w:ascii="Century Gothic" w:eastAsia="Times New Roman" w:hAnsi="Century Gothic" w:cs="Times New Roman"/>
          <w:color w:val="000000"/>
        </w:rPr>
        <w:t>Guidelines,</w:t>
      </w:r>
      <w:r w:rsidR="009D7BF1" w:rsidRPr="00946F2A">
        <w:rPr>
          <w:rFonts w:ascii="Century Gothic" w:eastAsia="Times New Roman" w:hAnsi="Century Gothic" w:cs="Times New Roman"/>
          <w:color w:val="000000"/>
        </w:rPr>
        <w:t xml:space="preserve"> </w:t>
      </w:r>
      <w:r w:rsidR="00A62EFB" w:rsidRPr="00946F2A">
        <w:rPr>
          <w:rFonts w:ascii="Century Gothic" w:eastAsia="Times New Roman" w:hAnsi="Century Gothic" w:cs="Times New Roman"/>
          <w:color w:val="000000"/>
        </w:rPr>
        <w:t>C</w:t>
      </w:r>
      <w:r w:rsidR="009D7BF1" w:rsidRPr="00946F2A">
        <w:rPr>
          <w:rFonts w:ascii="Century Gothic" w:eastAsia="Times New Roman" w:hAnsi="Century Gothic" w:cs="Times New Roman"/>
          <w:color w:val="000000"/>
        </w:rPr>
        <w:t xml:space="preserve">ase </w:t>
      </w:r>
      <w:r w:rsidR="00A62EFB" w:rsidRPr="00946F2A">
        <w:rPr>
          <w:rFonts w:ascii="Century Gothic" w:eastAsia="Times New Roman" w:hAnsi="Century Gothic" w:cs="Times New Roman"/>
          <w:color w:val="000000"/>
        </w:rPr>
        <w:t>Investigation Rules, Enforcement Guidelines, compensation S</w:t>
      </w:r>
      <w:r w:rsidR="009D7BF1" w:rsidRPr="00946F2A">
        <w:rPr>
          <w:rFonts w:ascii="Century Gothic" w:eastAsia="Times New Roman" w:hAnsi="Century Gothic" w:cs="Times New Roman"/>
          <w:color w:val="000000"/>
        </w:rPr>
        <w:t>chedules,</w:t>
      </w:r>
      <w:r w:rsidR="00A62EFB" w:rsidRPr="00946F2A">
        <w:rPr>
          <w:rFonts w:ascii="Century Gothic" w:eastAsia="Times New Roman" w:hAnsi="Century Gothic" w:cs="Times New Roman"/>
          <w:color w:val="000000"/>
        </w:rPr>
        <w:t xml:space="preserve"> F</w:t>
      </w:r>
      <w:r w:rsidR="009D7BF1" w:rsidRPr="00946F2A">
        <w:rPr>
          <w:rFonts w:ascii="Century Gothic" w:eastAsia="Times New Roman" w:hAnsi="Century Gothic" w:cs="Times New Roman"/>
          <w:color w:val="000000"/>
        </w:rPr>
        <w:t>ines,</w:t>
      </w:r>
      <w:r w:rsidR="00A62EFB" w:rsidRPr="00946F2A">
        <w:rPr>
          <w:rFonts w:ascii="Century Gothic" w:eastAsia="Times New Roman" w:hAnsi="Century Gothic" w:cs="Times New Roman"/>
          <w:color w:val="000000"/>
        </w:rPr>
        <w:t xml:space="preserve"> a L</w:t>
      </w:r>
      <w:r w:rsidRPr="00946F2A">
        <w:rPr>
          <w:rFonts w:ascii="Century Gothic" w:eastAsia="Times New Roman" w:hAnsi="Century Gothic" w:cs="Times New Roman"/>
          <w:color w:val="000000"/>
        </w:rPr>
        <w:t>eniency program</w:t>
      </w:r>
      <w:r w:rsidR="00571E71" w:rsidRPr="00946F2A">
        <w:rPr>
          <w:rFonts w:ascii="Century Gothic" w:eastAsia="Times New Roman" w:hAnsi="Century Gothic" w:cs="Times New Roman"/>
          <w:color w:val="000000"/>
        </w:rPr>
        <w:t>me</w:t>
      </w:r>
      <w:r w:rsidRPr="00946F2A">
        <w:rPr>
          <w:rFonts w:ascii="Century Gothic" w:eastAsia="Times New Roman" w:hAnsi="Century Gothic" w:cs="Times New Roman"/>
          <w:color w:val="000000"/>
        </w:rPr>
        <w:t>, etc;</w:t>
      </w:r>
    </w:p>
    <w:p w:rsidR="00540DA8" w:rsidRPr="00946F2A" w:rsidRDefault="00540DA8" w:rsidP="00A62EFB">
      <w:pPr>
        <w:pStyle w:val="ListParagraph"/>
        <w:spacing w:after="14" w:line="242" w:lineRule="auto"/>
        <w:jc w:val="both"/>
        <w:rPr>
          <w:rFonts w:ascii="Century Gothic" w:eastAsia="Times New Roman" w:hAnsi="Century Gothic" w:cs="Times New Roman"/>
          <w:color w:val="000000"/>
        </w:rPr>
      </w:pPr>
      <w:r w:rsidRPr="00946F2A">
        <w:rPr>
          <w:rFonts w:ascii="Century Gothic" w:eastAsia="Times New Roman" w:hAnsi="Century Gothic" w:cs="Times New Roman"/>
          <w:color w:val="000000"/>
        </w:rPr>
        <w:t xml:space="preserve"> </w:t>
      </w:r>
    </w:p>
    <w:p w:rsidR="00CF54F4" w:rsidRPr="00946F2A" w:rsidRDefault="00571E71" w:rsidP="00B65C9D">
      <w:pPr>
        <w:pStyle w:val="ListParagraph"/>
        <w:numPr>
          <w:ilvl w:val="0"/>
          <w:numId w:val="16"/>
        </w:numPr>
        <w:spacing w:after="14" w:line="242" w:lineRule="auto"/>
        <w:jc w:val="both"/>
        <w:rPr>
          <w:rFonts w:ascii="Century Gothic" w:eastAsia="Times New Roman" w:hAnsi="Century Gothic" w:cs="Times New Roman"/>
          <w:color w:val="000000"/>
        </w:rPr>
      </w:pPr>
      <w:r w:rsidRPr="00946F2A">
        <w:rPr>
          <w:rFonts w:ascii="Century Gothic" w:eastAsia="Times New Roman" w:hAnsi="Century Gothic" w:cs="Times New Roman"/>
          <w:color w:val="000000"/>
        </w:rPr>
        <w:t>Offer</w:t>
      </w:r>
      <w:r w:rsidR="00540DA8" w:rsidRPr="00946F2A">
        <w:rPr>
          <w:rFonts w:ascii="Century Gothic" w:eastAsia="Times New Roman" w:hAnsi="Century Gothic" w:cs="Times New Roman"/>
          <w:color w:val="000000"/>
        </w:rPr>
        <w:t xml:space="preserve"> specific recommendations on new legal instruments,</w:t>
      </w:r>
      <w:r w:rsidR="00A62EFB" w:rsidRPr="00946F2A">
        <w:rPr>
          <w:rFonts w:ascii="Century Gothic" w:eastAsia="Times New Roman" w:hAnsi="Century Gothic" w:cs="Times New Roman"/>
          <w:color w:val="000000"/>
        </w:rPr>
        <w:t xml:space="preserve"> or amendments to the current legal framework to implement the ERCA and its operation including</w:t>
      </w:r>
      <w:r w:rsidR="00540DA8" w:rsidRPr="00946F2A">
        <w:rPr>
          <w:rFonts w:ascii="Century Gothic" w:eastAsia="Times New Roman" w:hAnsi="Century Gothic" w:cs="Times New Roman"/>
          <w:color w:val="000000"/>
        </w:rPr>
        <w:t xml:space="preserve"> collaboration agreements. </w:t>
      </w:r>
    </w:p>
    <w:p w:rsidR="00540DA8" w:rsidRPr="00946F2A" w:rsidRDefault="00540DA8" w:rsidP="00CF54F4">
      <w:pPr>
        <w:pStyle w:val="ListParagraph"/>
        <w:spacing w:after="14" w:line="242" w:lineRule="auto"/>
        <w:rPr>
          <w:rFonts w:ascii="Century Gothic" w:eastAsia="Times New Roman" w:hAnsi="Century Gothic" w:cs="Times New Roman"/>
          <w:color w:val="000000"/>
        </w:rPr>
      </w:pPr>
      <w:r w:rsidRPr="00946F2A">
        <w:rPr>
          <w:rFonts w:ascii="Century Gothic" w:eastAsia="Times New Roman" w:hAnsi="Century Gothic" w:cs="Times New Roman"/>
          <w:color w:val="000000"/>
        </w:rPr>
        <w:t xml:space="preserve"> </w:t>
      </w:r>
    </w:p>
    <w:p w:rsidR="00540DA8" w:rsidRPr="00A373C0" w:rsidRDefault="00571E71" w:rsidP="00540DA8">
      <w:pPr>
        <w:pStyle w:val="ListParagraph"/>
        <w:widowControl w:val="0"/>
        <w:numPr>
          <w:ilvl w:val="0"/>
          <w:numId w:val="16"/>
        </w:numPr>
        <w:spacing w:after="0" w:line="240" w:lineRule="auto"/>
        <w:jc w:val="both"/>
        <w:rPr>
          <w:rFonts w:ascii="Century Gothic" w:eastAsia="Times New Roman" w:hAnsi="Century Gothic" w:cs="Times New Roman"/>
          <w:b/>
        </w:rPr>
      </w:pPr>
      <w:r w:rsidRPr="00946F2A">
        <w:rPr>
          <w:rFonts w:ascii="Century Gothic" w:eastAsia="Times New Roman" w:hAnsi="Century Gothic" w:cs="Times New Roman"/>
        </w:rPr>
        <w:t>Effectively</w:t>
      </w:r>
      <w:r w:rsidR="00540DA8" w:rsidRPr="00946F2A">
        <w:rPr>
          <w:rFonts w:ascii="Century Gothic" w:eastAsia="Times New Roman" w:hAnsi="Century Gothic" w:cs="Times New Roman"/>
        </w:rPr>
        <w:t xml:space="preserve"> attend to the </w:t>
      </w:r>
      <w:r w:rsidR="00540DA8" w:rsidRPr="00946F2A">
        <w:rPr>
          <w:rFonts w:ascii="Century Gothic" w:eastAsia="Times New Roman" w:hAnsi="Century Gothic" w:cs="Times New Roman"/>
          <w:b/>
          <w:bCs/>
        </w:rPr>
        <w:t>inter-relationships between competition regulation and the protection of consumer welfare</w:t>
      </w:r>
      <w:r w:rsidR="00540DA8" w:rsidRPr="00946F2A">
        <w:rPr>
          <w:rFonts w:ascii="Century Gothic" w:eastAsia="Times New Roman" w:hAnsi="Century Gothic" w:cs="Times New Roman"/>
        </w:rPr>
        <w:t xml:space="preserve">. </w:t>
      </w:r>
    </w:p>
    <w:p w:rsidR="00540DA8" w:rsidRPr="00946F2A" w:rsidRDefault="00540DA8" w:rsidP="00540DA8">
      <w:pPr>
        <w:pStyle w:val="ListParagraph"/>
        <w:rPr>
          <w:rFonts w:ascii="Century Gothic" w:eastAsia="Times New Roman" w:hAnsi="Century Gothic" w:cs="Times New Roman"/>
          <w:color w:val="000000"/>
        </w:rPr>
      </w:pPr>
    </w:p>
    <w:p w:rsidR="00540DA8" w:rsidRPr="00946F2A" w:rsidRDefault="00540DA8" w:rsidP="00B65C9D">
      <w:pPr>
        <w:pStyle w:val="ListParagraph"/>
        <w:numPr>
          <w:ilvl w:val="0"/>
          <w:numId w:val="16"/>
        </w:numPr>
        <w:spacing w:after="14" w:line="242" w:lineRule="auto"/>
        <w:jc w:val="both"/>
        <w:rPr>
          <w:rFonts w:ascii="Century Gothic" w:eastAsia="Times New Roman" w:hAnsi="Century Gothic" w:cs="Times New Roman"/>
          <w:color w:val="000000"/>
        </w:rPr>
      </w:pPr>
      <w:r w:rsidRPr="00946F2A">
        <w:rPr>
          <w:rFonts w:ascii="Century Gothic" w:eastAsia="Times New Roman" w:hAnsi="Century Gothic" w:cs="Times New Roman"/>
          <w:color w:val="000000"/>
        </w:rPr>
        <w:t xml:space="preserve">Identify key strategic priorities for </w:t>
      </w:r>
      <w:r w:rsidR="00A62EFB" w:rsidRPr="00946F2A">
        <w:rPr>
          <w:rFonts w:ascii="Century Gothic" w:eastAsia="Times New Roman" w:hAnsi="Century Gothic" w:cs="Times New Roman"/>
          <w:color w:val="000000"/>
        </w:rPr>
        <w:t xml:space="preserve">the </w:t>
      </w:r>
      <w:r w:rsidRPr="00946F2A">
        <w:rPr>
          <w:rFonts w:ascii="Century Gothic" w:eastAsia="Times New Roman" w:hAnsi="Century Gothic" w:cs="Times New Roman"/>
          <w:color w:val="000000"/>
        </w:rPr>
        <w:t>exercise of the ERCA’s authority in the region, including identifying two or more markets for immediate analysis and action;</w:t>
      </w:r>
    </w:p>
    <w:p w:rsidR="00540DA8" w:rsidRPr="00946F2A" w:rsidRDefault="00540DA8" w:rsidP="00540DA8">
      <w:pPr>
        <w:spacing w:after="14" w:line="242" w:lineRule="auto"/>
        <w:ind w:left="420"/>
        <w:rPr>
          <w:rFonts w:ascii="Century Gothic" w:eastAsia="Times New Roman" w:hAnsi="Century Gothic" w:cs="Times New Roman"/>
          <w:color w:val="000000"/>
        </w:rPr>
      </w:pPr>
    </w:p>
    <w:p w:rsidR="00540DA8" w:rsidRPr="00946F2A" w:rsidRDefault="00571E71" w:rsidP="00B65C9D">
      <w:pPr>
        <w:widowControl w:val="0"/>
        <w:numPr>
          <w:ilvl w:val="0"/>
          <w:numId w:val="16"/>
        </w:numPr>
        <w:spacing w:after="0" w:line="240" w:lineRule="auto"/>
        <w:jc w:val="both"/>
        <w:rPr>
          <w:rFonts w:ascii="Century Gothic" w:eastAsia="Times New Roman" w:hAnsi="Century Gothic" w:cs="Times New Roman"/>
        </w:rPr>
      </w:pPr>
      <w:r w:rsidRPr="00946F2A">
        <w:rPr>
          <w:rFonts w:ascii="Century Gothic" w:eastAsia="Times New Roman" w:hAnsi="Century Gothic" w:cs="Times New Roman"/>
        </w:rPr>
        <w:t>Ensure</w:t>
      </w:r>
      <w:r w:rsidR="00540DA8" w:rsidRPr="00946F2A">
        <w:rPr>
          <w:rFonts w:ascii="Century Gothic" w:eastAsia="Times New Roman" w:hAnsi="Century Gothic" w:cs="Times New Roman"/>
        </w:rPr>
        <w:t xml:space="preserve"> appropriate alignment of the RCPF with ECOWAS’ trade interests in vital sectors of the regional economy. </w:t>
      </w:r>
    </w:p>
    <w:p w:rsidR="00540DA8" w:rsidRPr="00946F2A" w:rsidRDefault="00540DA8" w:rsidP="00B65C9D">
      <w:pPr>
        <w:pStyle w:val="ListParagraph"/>
        <w:jc w:val="both"/>
        <w:rPr>
          <w:rFonts w:ascii="Century Gothic" w:eastAsia="Times New Roman" w:hAnsi="Century Gothic" w:cs="Times New Roman"/>
          <w:color w:val="000000"/>
        </w:rPr>
      </w:pPr>
    </w:p>
    <w:p w:rsidR="00540DA8" w:rsidRPr="00946F2A" w:rsidRDefault="00540DA8" w:rsidP="00B65C9D">
      <w:pPr>
        <w:pStyle w:val="ListParagraph"/>
        <w:numPr>
          <w:ilvl w:val="0"/>
          <w:numId w:val="16"/>
        </w:numPr>
        <w:spacing w:after="14" w:line="242" w:lineRule="auto"/>
        <w:jc w:val="both"/>
        <w:rPr>
          <w:rFonts w:ascii="Century Gothic" w:eastAsia="Times New Roman" w:hAnsi="Century Gothic" w:cs="Times New Roman"/>
          <w:color w:val="000000"/>
        </w:rPr>
      </w:pPr>
      <w:r w:rsidRPr="00946F2A">
        <w:rPr>
          <w:rFonts w:ascii="Century Gothic" w:eastAsia="Times New Roman" w:hAnsi="Century Gothic" w:cs="Times New Roman"/>
          <w:color w:val="000000"/>
        </w:rPr>
        <w:t xml:space="preserve">Develop a framework for detecting and deterring </w:t>
      </w:r>
      <w:r w:rsidR="00CF54F4" w:rsidRPr="00946F2A">
        <w:rPr>
          <w:rFonts w:ascii="Century Gothic" w:eastAsia="Times New Roman" w:hAnsi="Century Gothic" w:cs="Times New Roman"/>
          <w:color w:val="000000"/>
        </w:rPr>
        <w:t xml:space="preserve">any form of non-competitive activity </w:t>
      </w:r>
      <w:r w:rsidRPr="00946F2A">
        <w:rPr>
          <w:rFonts w:ascii="Century Gothic" w:eastAsia="Times New Roman" w:hAnsi="Century Gothic" w:cs="Times New Roman"/>
          <w:color w:val="000000"/>
        </w:rPr>
        <w:t xml:space="preserve">in priority sectors and </w:t>
      </w:r>
      <w:r w:rsidR="00CF54F4" w:rsidRPr="00946F2A">
        <w:rPr>
          <w:rFonts w:ascii="Century Gothic" w:eastAsia="Times New Roman" w:hAnsi="Century Gothic" w:cs="Times New Roman"/>
          <w:color w:val="000000"/>
        </w:rPr>
        <w:t xml:space="preserve">also </w:t>
      </w:r>
      <w:r w:rsidRPr="00946F2A">
        <w:rPr>
          <w:rFonts w:ascii="Century Gothic" w:eastAsia="Times New Roman" w:hAnsi="Century Gothic" w:cs="Times New Roman"/>
          <w:color w:val="000000"/>
        </w:rPr>
        <w:t xml:space="preserve">provide inputs to strategy for combating </w:t>
      </w:r>
      <w:r w:rsidR="009D7BF1" w:rsidRPr="00946F2A">
        <w:rPr>
          <w:rFonts w:ascii="Century Gothic" w:eastAsia="Times New Roman" w:hAnsi="Century Gothic" w:cs="Times New Roman"/>
          <w:color w:val="000000"/>
        </w:rPr>
        <w:t xml:space="preserve">same including the operation of </w:t>
      </w:r>
      <w:r w:rsidRPr="00946F2A">
        <w:rPr>
          <w:rFonts w:ascii="Century Gothic" w:eastAsia="Times New Roman" w:hAnsi="Century Gothic" w:cs="Times New Roman"/>
          <w:color w:val="000000"/>
        </w:rPr>
        <w:t>cartels in ECOWAS;</w:t>
      </w:r>
    </w:p>
    <w:p w:rsidR="00540DA8" w:rsidRPr="00946F2A" w:rsidRDefault="00540DA8" w:rsidP="00540DA8">
      <w:pPr>
        <w:pStyle w:val="ListParagraph"/>
        <w:rPr>
          <w:rFonts w:ascii="Century Gothic" w:eastAsia="Times New Roman" w:hAnsi="Century Gothic" w:cs="Times New Roman"/>
          <w:color w:val="000000"/>
        </w:rPr>
      </w:pPr>
    </w:p>
    <w:p w:rsidR="00540DA8" w:rsidRDefault="00540DA8" w:rsidP="00222456">
      <w:pPr>
        <w:pStyle w:val="ListParagraph"/>
        <w:numPr>
          <w:ilvl w:val="0"/>
          <w:numId w:val="16"/>
        </w:numPr>
        <w:spacing w:after="14" w:line="242" w:lineRule="auto"/>
        <w:jc w:val="both"/>
        <w:rPr>
          <w:rFonts w:ascii="Century Gothic" w:eastAsia="Times New Roman" w:hAnsi="Century Gothic" w:cs="Times New Roman"/>
          <w:color w:val="000000"/>
        </w:rPr>
      </w:pPr>
      <w:r w:rsidRPr="00BB11E5">
        <w:rPr>
          <w:rFonts w:ascii="Century Gothic" w:eastAsia="Times New Roman" w:hAnsi="Century Gothic" w:cs="Times New Roman"/>
          <w:color w:val="000000"/>
        </w:rPr>
        <w:t xml:space="preserve"> Carry out a comprehensive assessment of competition enforcement frameworks in ECOWAS in general</w:t>
      </w:r>
      <w:r w:rsidR="00A62EFB" w:rsidRPr="00BB11E5">
        <w:rPr>
          <w:rFonts w:ascii="Century Gothic" w:eastAsia="Times New Roman" w:hAnsi="Century Gothic" w:cs="Times New Roman"/>
          <w:color w:val="000000"/>
        </w:rPr>
        <w:t>,</w:t>
      </w:r>
      <w:r w:rsidRPr="00BB11E5">
        <w:rPr>
          <w:rFonts w:ascii="Century Gothic" w:eastAsia="Times New Roman" w:hAnsi="Century Gothic" w:cs="Times New Roman"/>
          <w:color w:val="000000"/>
        </w:rPr>
        <w:t xml:space="preserve"> in order to understand each institutions legal and regulatory mandates with respect to the ERCA’s jurisdiction; </w:t>
      </w:r>
    </w:p>
    <w:p w:rsidR="00BB11E5" w:rsidRPr="00BB11E5" w:rsidRDefault="00BB11E5" w:rsidP="00BB11E5">
      <w:pPr>
        <w:pStyle w:val="ListParagraph"/>
        <w:rPr>
          <w:rFonts w:ascii="Century Gothic" w:eastAsia="Times New Roman" w:hAnsi="Century Gothic" w:cs="Times New Roman"/>
          <w:color w:val="000000"/>
        </w:rPr>
      </w:pPr>
    </w:p>
    <w:p w:rsidR="00BB11E5" w:rsidRPr="00BB11E5" w:rsidRDefault="00BB11E5" w:rsidP="00222456">
      <w:pPr>
        <w:pStyle w:val="ListParagraph"/>
        <w:numPr>
          <w:ilvl w:val="0"/>
          <w:numId w:val="16"/>
        </w:numPr>
        <w:spacing w:after="14" w:line="242" w:lineRule="auto"/>
        <w:jc w:val="both"/>
        <w:rPr>
          <w:rFonts w:ascii="Century Gothic" w:eastAsia="Times New Roman" w:hAnsi="Century Gothic" w:cs="Times New Roman"/>
          <w:color w:val="000000"/>
        </w:rPr>
      </w:pPr>
    </w:p>
    <w:p w:rsidR="00540DA8" w:rsidRPr="00946F2A" w:rsidRDefault="00540DA8" w:rsidP="00B65C9D">
      <w:pPr>
        <w:pStyle w:val="ListParagraph"/>
        <w:numPr>
          <w:ilvl w:val="0"/>
          <w:numId w:val="16"/>
        </w:numPr>
        <w:spacing w:after="14" w:line="242" w:lineRule="auto"/>
        <w:jc w:val="both"/>
        <w:rPr>
          <w:rFonts w:ascii="Century Gothic" w:eastAsia="Times New Roman" w:hAnsi="Century Gothic" w:cs="Times New Roman"/>
          <w:color w:val="000000"/>
        </w:rPr>
      </w:pPr>
      <w:r w:rsidRPr="00946F2A">
        <w:rPr>
          <w:rFonts w:ascii="Century Gothic" w:eastAsia="Times New Roman" w:hAnsi="Century Gothic" w:cs="Times New Roman"/>
          <w:color w:val="000000"/>
        </w:rPr>
        <w:t xml:space="preserve"> Identify initiatives for the ERCA to leverage </w:t>
      </w:r>
      <w:r w:rsidR="00C537E0" w:rsidRPr="00946F2A">
        <w:rPr>
          <w:rFonts w:ascii="Century Gothic" w:eastAsia="Times New Roman" w:hAnsi="Century Gothic" w:cs="Times New Roman"/>
          <w:color w:val="000000"/>
        </w:rPr>
        <w:t xml:space="preserve">in order </w:t>
      </w:r>
      <w:r w:rsidRPr="00946F2A">
        <w:rPr>
          <w:rFonts w:ascii="Century Gothic" w:eastAsia="Times New Roman" w:hAnsi="Century Gothic" w:cs="Times New Roman"/>
          <w:color w:val="000000"/>
        </w:rPr>
        <w:t>to strengthen its mandate in the ECOWAS region</w:t>
      </w:r>
    </w:p>
    <w:p w:rsidR="00CF54F4" w:rsidRPr="00946F2A" w:rsidRDefault="00CF54F4" w:rsidP="00CF54F4">
      <w:pPr>
        <w:pStyle w:val="ListParagraph"/>
        <w:rPr>
          <w:rFonts w:ascii="Century Gothic" w:eastAsia="Times New Roman" w:hAnsi="Century Gothic" w:cs="Times New Roman"/>
          <w:color w:val="000000"/>
        </w:rPr>
      </w:pPr>
    </w:p>
    <w:p w:rsidR="00CF54F4" w:rsidRPr="00946F2A" w:rsidRDefault="00CF54F4" w:rsidP="00CF54F4">
      <w:pPr>
        <w:pStyle w:val="ListParagraph"/>
        <w:spacing w:after="14" w:line="242" w:lineRule="auto"/>
        <w:rPr>
          <w:rFonts w:ascii="Century Gothic" w:eastAsia="Times New Roman" w:hAnsi="Century Gothic" w:cs="Times New Roman"/>
          <w:color w:val="000000"/>
        </w:rPr>
      </w:pPr>
    </w:p>
    <w:p w:rsidR="00540DA8" w:rsidRPr="00946F2A" w:rsidRDefault="00540DA8" w:rsidP="00B65C9D">
      <w:pPr>
        <w:pStyle w:val="ListParagraph"/>
        <w:numPr>
          <w:ilvl w:val="0"/>
          <w:numId w:val="16"/>
        </w:numPr>
        <w:spacing w:after="14" w:line="242" w:lineRule="auto"/>
        <w:jc w:val="both"/>
        <w:rPr>
          <w:rFonts w:ascii="Century Gothic" w:eastAsia="Times New Roman" w:hAnsi="Century Gothic" w:cs="Times New Roman"/>
          <w:color w:val="000000"/>
        </w:rPr>
      </w:pPr>
      <w:r w:rsidRPr="00946F2A">
        <w:rPr>
          <w:rFonts w:ascii="Century Gothic" w:eastAsia="Times New Roman" w:hAnsi="Century Gothic" w:cs="Times New Roman"/>
          <w:color w:val="000000"/>
        </w:rPr>
        <w:t>Facilitate the establishment of sustainable collaboration with national, regional and international Competition Authorities in a bid to foster close working relations and create opportunities for obtaining technical assistance for effective operations in ERCA; also in order to overcome ERCA’s capacity and resource constraints.</w:t>
      </w:r>
    </w:p>
    <w:p w:rsidR="00540DA8" w:rsidRPr="00946F2A" w:rsidRDefault="00540DA8" w:rsidP="00540DA8">
      <w:pPr>
        <w:spacing w:after="14" w:line="242" w:lineRule="auto"/>
        <w:rPr>
          <w:rFonts w:ascii="Century Gothic" w:eastAsia="Times New Roman" w:hAnsi="Century Gothic" w:cs="Times New Roman"/>
          <w:color w:val="000000"/>
        </w:rPr>
      </w:pPr>
    </w:p>
    <w:p w:rsidR="00540DA8" w:rsidRPr="00946F2A" w:rsidRDefault="00540DA8" w:rsidP="00B65C9D">
      <w:pPr>
        <w:pStyle w:val="ListParagraph"/>
        <w:numPr>
          <w:ilvl w:val="0"/>
          <w:numId w:val="16"/>
        </w:numPr>
        <w:spacing w:after="14" w:line="242" w:lineRule="auto"/>
        <w:jc w:val="both"/>
        <w:rPr>
          <w:rFonts w:ascii="Century Gothic" w:eastAsia="Times New Roman" w:hAnsi="Century Gothic" w:cs="Times New Roman"/>
          <w:color w:val="000000"/>
        </w:rPr>
      </w:pPr>
      <w:r w:rsidRPr="00946F2A">
        <w:rPr>
          <w:rFonts w:ascii="Century Gothic" w:eastAsia="Times New Roman" w:hAnsi="Century Gothic" w:cs="Times New Roman"/>
          <w:color w:val="000000"/>
        </w:rPr>
        <w:lastRenderedPageBreak/>
        <w:t>Assist with the development and design of a website for ERCA operations.</w:t>
      </w:r>
    </w:p>
    <w:p w:rsidR="00540DA8" w:rsidRPr="00946F2A" w:rsidRDefault="00540DA8" w:rsidP="00540DA8">
      <w:pPr>
        <w:widowControl w:val="0"/>
        <w:spacing w:after="0" w:line="240" w:lineRule="auto"/>
        <w:jc w:val="both"/>
        <w:rPr>
          <w:rFonts w:ascii="Century Gothic" w:eastAsia="Times New Roman" w:hAnsi="Century Gothic" w:cs="Times New Roman"/>
        </w:rPr>
      </w:pPr>
    </w:p>
    <w:p w:rsidR="00540DA8" w:rsidRPr="00BB11E5" w:rsidRDefault="00BB11E5" w:rsidP="00BB11E5">
      <w:pPr>
        <w:spacing w:after="14" w:line="242" w:lineRule="auto"/>
        <w:rPr>
          <w:rFonts w:ascii="Century Gothic" w:eastAsia="Times New Roman" w:hAnsi="Century Gothic" w:cs="Times New Roman"/>
          <w:b/>
          <w:color w:val="000000"/>
        </w:rPr>
      </w:pPr>
      <w:r>
        <w:rPr>
          <w:rFonts w:ascii="Century Gothic" w:eastAsia="Times New Roman" w:hAnsi="Century Gothic" w:cs="Times New Roman"/>
          <w:b/>
          <w:color w:val="000000"/>
        </w:rPr>
        <w:t xml:space="preserve">IV </w:t>
      </w:r>
      <w:r w:rsidR="00540DA8" w:rsidRPr="00BB11E5">
        <w:rPr>
          <w:rFonts w:ascii="Century Gothic" w:eastAsia="Times New Roman" w:hAnsi="Century Gothic" w:cs="Times New Roman"/>
          <w:b/>
          <w:color w:val="000000"/>
        </w:rPr>
        <w:t>Deliverables</w:t>
      </w:r>
    </w:p>
    <w:p w:rsidR="00540DA8" w:rsidRPr="00946F2A" w:rsidRDefault="00540DA8" w:rsidP="00540DA8">
      <w:pPr>
        <w:spacing w:after="14" w:line="242" w:lineRule="auto"/>
        <w:rPr>
          <w:rFonts w:ascii="Century Gothic" w:eastAsia="Times New Roman" w:hAnsi="Century Gothic" w:cs="Times New Roman"/>
          <w:color w:val="000000"/>
        </w:rPr>
      </w:pPr>
    </w:p>
    <w:p w:rsidR="00540DA8" w:rsidRPr="00946F2A" w:rsidRDefault="00540DA8" w:rsidP="00ED3ECC">
      <w:pPr>
        <w:pStyle w:val="ListParagraph"/>
        <w:numPr>
          <w:ilvl w:val="0"/>
          <w:numId w:val="15"/>
        </w:numPr>
        <w:spacing w:after="14" w:line="242" w:lineRule="auto"/>
        <w:jc w:val="both"/>
        <w:rPr>
          <w:rFonts w:ascii="Century Gothic" w:eastAsia="Times New Roman" w:hAnsi="Century Gothic" w:cs="Times New Roman"/>
          <w:color w:val="000000"/>
        </w:rPr>
      </w:pPr>
      <w:r w:rsidRPr="00946F2A">
        <w:rPr>
          <w:rFonts w:ascii="Century Gothic" w:eastAsia="Times New Roman" w:hAnsi="Century Gothic" w:cs="Times New Roman"/>
          <w:color w:val="000000"/>
        </w:rPr>
        <w:t xml:space="preserve">The Consultant will facilitate the development </w:t>
      </w:r>
      <w:r w:rsidR="009D7BF1" w:rsidRPr="00946F2A">
        <w:rPr>
          <w:rFonts w:ascii="Century Gothic" w:eastAsia="Times New Roman" w:hAnsi="Century Gothic" w:cs="Times New Roman"/>
          <w:color w:val="000000"/>
        </w:rPr>
        <w:t>of new</w:t>
      </w:r>
      <w:r w:rsidRPr="00946F2A">
        <w:rPr>
          <w:rFonts w:ascii="Century Gothic" w:eastAsia="Times New Roman" w:hAnsi="Century Gothic" w:cs="Times New Roman"/>
          <w:color w:val="000000"/>
        </w:rPr>
        <w:t xml:space="preserve"> legal and subsidiary instruments, or amendments to the current legal framework </w:t>
      </w:r>
      <w:r w:rsidR="00C537E0" w:rsidRPr="00946F2A">
        <w:rPr>
          <w:rFonts w:ascii="Century Gothic" w:eastAsia="Times New Roman" w:hAnsi="Century Gothic" w:cs="Times New Roman"/>
          <w:color w:val="000000"/>
        </w:rPr>
        <w:t xml:space="preserve">as well as collaboration agreements </w:t>
      </w:r>
      <w:r w:rsidRPr="00946F2A">
        <w:rPr>
          <w:rFonts w:ascii="Century Gothic" w:eastAsia="Times New Roman" w:hAnsi="Century Gothic" w:cs="Times New Roman"/>
          <w:color w:val="000000"/>
        </w:rPr>
        <w:t xml:space="preserve">to implement the ERCA and promote effective operations.  </w:t>
      </w:r>
    </w:p>
    <w:p w:rsidR="00540DA8" w:rsidRPr="00946F2A" w:rsidRDefault="00540DA8" w:rsidP="00ED3ECC">
      <w:pPr>
        <w:spacing w:after="14" w:line="242" w:lineRule="auto"/>
        <w:jc w:val="both"/>
        <w:rPr>
          <w:rFonts w:ascii="Century Gothic" w:eastAsia="Times New Roman" w:hAnsi="Century Gothic" w:cs="Times New Roman"/>
          <w:color w:val="000000"/>
        </w:rPr>
      </w:pPr>
    </w:p>
    <w:p w:rsidR="00540DA8" w:rsidRPr="00946F2A" w:rsidRDefault="00540DA8" w:rsidP="00ED3ECC">
      <w:pPr>
        <w:pStyle w:val="ListParagraph"/>
        <w:numPr>
          <w:ilvl w:val="0"/>
          <w:numId w:val="15"/>
        </w:numPr>
        <w:spacing w:after="14" w:line="242" w:lineRule="auto"/>
        <w:jc w:val="both"/>
        <w:rPr>
          <w:rFonts w:ascii="Century Gothic" w:eastAsia="Times New Roman" w:hAnsi="Century Gothic" w:cs="Times New Roman"/>
          <w:color w:val="000000"/>
        </w:rPr>
      </w:pPr>
      <w:r w:rsidRPr="00946F2A">
        <w:rPr>
          <w:rFonts w:ascii="Century Gothic" w:eastAsia="Times New Roman" w:hAnsi="Century Gothic" w:cs="Times New Roman"/>
          <w:color w:val="000000"/>
        </w:rPr>
        <w:t>The Consultant will offer an assessment report of the capacity training needs and legal frameworks on competition enforcement at the ECOWAS and Mem</w:t>
      </w:r>
      <w:r w:rsidR="00571E71" w:rsidRPr="00946F2A">
        <w:rPr>
          <w:rFonts w:ascii="Century Gothic" w:eastAsia="Times New Roman" w:hAnsi="Century Gothic" w:cs="Times New Roman"/>
          <w:color w:val="000000"/>
        </w:rPr>
        <w:t>ber State levels</w:t>
      </w:r>
      <w:r w:rsidRPr="00946F2A">
        <w:rPr>
          <w:rFonts w:ascii="Century Gothic" w:eastAsia="Times New Roman" w:hAnsi="Century Gothic" w:cs="Times New Roman"/>
          <w:color w:val="000000"/>
        </w:rPr>
        <w:t xml:space="preserve">. </w:t>
      </w:r>
    </w:p>
    <w:p w:rsidR="00540DA8" w:rsidRPr="00946F2A" w:rsidRDefault="00540DA8" w:rsidP="00ED3ECC">
      <w:pPr>
        <w:spacing w:after="14" w:line="242" w:lineRule="auto"/>
        <w:ind w:firstLine="45"/>
        <w:jc w:val="both"/>
        <w:rPr>
          <w:rFonts w:ascii="Century Gothic" w:eastAsia="Times New Roman" w:hAnsi="Century Gothic" w:cs="Times New Roman"/>
          <w:color w:val="000000"/>
        </w:rPr>
      </w:pPr>
    </w:p>
    <w:p w:rsidR="00540DA8" w:rsidRPr="00946F2A" w:rsidRDefault="00540DA8" w:rsidP="00ED3ECC">
      <w:pPr>
        <w:pStyle w:val="ListParagraph"/>
        <w:numPr>
          <w:ilvl w:val="0"/>
          <w:numId w:val="15"/>
        </w:numPr>
        <w:spacing w:after="14" w:line="242" w:lineRule="auto"/>
        <w:jc w:val="both"/>
        <w:rPr>
          <w:rFonts w:ascii="Century Gothic" w:eastAsia="Times New Roman" w:hAnsi="Century Gothic" w:cs="Times New Roman"/>
          <w:color w:val="000000"/>
        </w:rPr>
      </w:pPr>
      <w:r w:rsidRPr="00946F2A">
        <w:rPr>
          <w:rFonts w:ascii="Century Gothic" w:eastAsia="Times New Roman" w:hAnsi="Century Gothic" w:cs="Times New Roman"/>
          <w:color w:val="000000"/>
        </w:rPr>
        <w:t>The Consultant will be responsible for designing and building the legal evaluation of jurisdictional cooperation (including appropriate MOUs or other agreements) between the ERCA and UEMOA and other National and international Competition Authorities.</w:t>
      </w:r>
    </w:p>
    <w:p w:rsidR="00540DA8" w:rsidRPr="00946F2A" w:rsidRDefault="00540DA8" w:rsidP="00540DA8">
      <w:pPr>
        <w:spacing w:after="14" w:line="242" w:lineRule="auto"/>
        <w:rPr>
          <w:rFonts w:ascii="Century Gothic" w:eastAsia="Times New Roman" w:hAnsi="Century Gothic" w:cs="Times New Roman"/>
          <w:color w:val="000000"/>
        </w:rPr>
      </w:pPr>
    </w:p>
    <w:p w:rsidR="00540DA8" w:rsidRPr="00946F2A" w:rsidRDefault="00540DA8" w:rsidP="00ED3ECC">
      <w:pPr>
        <w:pStyle w:val="ListParagraph"/>
        <w:numPr>
          <w:ilvl w:val="0"/>
          <w:numId w:val="15"/>
        </w:numPr>
        <w:spacing w:after="14" w:line="242" w:lineRule="auto"/>
        <w:jc w:val="both"/>
        <w:rPr>
          <w:rFonts w:ascii="Century Gothic" w:eastAsia="Times New Roman" w:hAnsi="Century Gothic" w:cs="Times New Roman"/>
          <w:color w:val="000000"/>
        </w:rPr>
      </w:pPr>
      <w:r w:rsidRPr="00946F2A">
        <w:rPr>
          <w:rFonts w:ascii="Century Gothic" w:eastAsia="Times New Roman" w:hAnsi="Century Gothic" w:cs="Times New Roman"/>
          <w:color w:val="000000"/>
        </w:rPr>
        <w:t xml:space="preserve">The Consultant will propose the tools that could be used to implement a regional program to combat anticompetitive behavior, including with respect to cartels.  </w:t>
      </w:r>
    </w:p>
    <w:p w:rsidR="00540DA8" w:rsidRPr="00946F2A" w:rsidRDefault="00540DA8" w:rsidP="00ED3ECC">
      <w:pPr>
        <w:spacing w:after="14" w:line="242" w:lineRule="auto"/>
        <w:jc w:val="both"/>
        <w:rPr>
          <w:rFonts w:ascii="Century Gothic" w:eastAsia="Times New Roman" w:hAnsi="Century Gothic" w:cs="Times New Roman"/>
          <w:color w:val="000000"/>
        </w:rPr>
      </w:pPr>
    </w:p>
    <w:p w:rsidR="00540DA8" w:rsidRPr="00946F2A" w:rsidRDefault="00540DA8" w:rsidP="00ED3ECC">
      <w:pPr>
        <w:pStyle w:val="ListParagraph"/>
        <w:numPr>
          <w:ilvl w:val="0"/>
          <w:numId w:val="15"/>
        </w:numPr>
        <w:spacing w:after="14" w:line="242" w:lineRule="auto"/>
        <w:jc w:val="both"/>
        <w:rPr>
          <w:rFonts w:ascii="Century Gothic" w:eastAsia="Times New Roman" w:hAnsi="Century Gothic" w:cs="Times New Roman"/>
          <w:color w:val="000000"/>
        </w:rPr>
      </w:pPr>
      <w:r w:rsidRPr="00946F2A">
        <w:rPr>
          <w:rFonts w:ascii="Century Gothic" w:eastAsia="Times New Roman" w:hAnsi="Century Gothic" w:cs="Times New Roman"/>
          <w:color w:val="000000"/>
        </w:rPr>
        <w:t>The Consultant will help de</w:t>
      </w:r>
      <w:r w:rsidR="00C537E0" w:rsidRPr="00946F2A">
        <w:rPr>
          <w:rFonts w:ascii="Century Gothic" w:eastAsia="Times New Roman" w:hAnsi="Century Gothic" w:cs="Times New Roman"/>
          <w:color w:val="000000"/>
        </w:rPr>
        <w:t>velop strategies for effective a</w:t>
      </w:r>
      <w:r w:rsidRPr="00946F2A">
        <w:rPr>
          <w:rFonts w:ascii="Century Gothic" w:eastAsia="Times New Roman" w:hAnsi="Century Gothic" w:cs="Times New Roman"/>
          <w:color w:val="000000"/>
        </w:rPr>
        <w:t>dvocacy, awareness raising and sensitization activities for ERCA with stakeholders in the public and private sectors within and outside the region in a bid to foster support for ERCA objectives and compliance with the regional anti competition rules and policy;</w:t>
      </w:r>
    </w:p>
    <w:p w:rsidR="00540DA8" w:rsidRPr="00946F2A" w:rsidRDefault="00540DA8" w:rsidP="00540DA8">
      <w:pPr>
        <w:pStyle w:val="ListParagraph"/>
        <w:rPr>
          <w:rFonts w:ascii="Century Gothic" w:eastAsia="Times New Roman" w:hAnsi="Century Gothic" w:cs="Times New Roman"/>
          <w:color w:val="000000"/>
        </w:rPr>
      </w:pPr>
    </w:p>
    <w:p w:rsidR="00ED3ECC" w:rsidRPr="00946F2A" w:rsidRDefault="00540DA8" w:rsidP="00540DA8">
      <w:pPr>
        <w:pStyle w:val="ListParagraph"/>
        <w:numPr>
          <w:ilvl w:val="0"/>
          <w:numId w:val="15"/>
        </w:numPr>
        <w:spacing w:after="14" w:line="242" w:lineRule="auto"/>
        <w:jc w:val="both"/>
        <w:rPr>
          <w:rFonts w:ascii="Century Gothic" w:eastAsia="Times New Roman" w:hAnsi="Century Gothic" w:cs="Times New Roman"/>
          <w:color w:val="000000"/>
        </w:rPr>
      </w:pPr>
      <w:r w:rsidRPr="00946F2A">
        <w:rPr>
          <w:rFonts w:ascii="Century Gothic" w:eastAsia="Times New Roman" w:hAnsi="Century Gothic" w:cs="Times New Roman"/>
          <w:color w:val="000000"/>
        </w:rPr>
        <w:t>The Consultant will facilitate the development of an operational website for ERCA for accessibility to the public.</w:t>
      </w:r>
    </w:p>
    <w:p w:rsidR="00ED3ECC" w:rsidRPr="00946F2A" w:rsidRDefault="00ED3ECC" w:rsidP="00540DA8">
      <w:pPr>
        <w:spacing w:after="14" w:line="242" w:lineRule="auto"/>
        <w:rPr>
          <w:rFonts w:ascii="Century Gothic" w:eastAsia="Times New Roman" w:hAnsi="Century Gothic" w:cs="Times New Roman"/>
          <w:color w:val="000000"/>
        </w:rPr>
      </w:pPr>
    </w:p>
    <w:p w:rsidR="001431E6" w:rsidRPr="00946F2A" w:rsidRDefault="00540DA8" w:rsidP="00540DA8">
      <w:pPr>
        <w:spacing w:after="14" w:line="242" w:lineRule="auto"/>
        <w:rPr>
          <w:rFonts w:ascii="Century Gothic" w:eastAsia="Times New Roman" w:hAnsi="Century Gothic" w:cs="Times New Roman"/>
          <w:b/>
          <w:color w:val="000000"/>
        </w:rPr>
      </w:pPr>
      <w:r w:rsidRPr="00946F2A">
        <w:rPr>
          <w:rFonts w:ascii="Century Gothic" w:eastAsia="Times New Roman" w:hAnsi="Century Gothic" w:cs="Times New Roman"/>
          <w:color w:val="000000"/>
        </w:rPr>
        <w:t xml:space="preserve"> </w:t>
      </w:r>
      <w:r w:rsidRPr="00946F2A">
        <w:rPr>
          <w:rFonts w:ascii="Century Gothic" w:eastAsia="Times New Roman" w:hAnsi="Century Gothic" w:cs="Times New Roman"/>
          <w:b/>
          <w:color w:val="000000"/>
        </w:rPr>
        <w:t>V</w:t>
      </w:r>
      <w:r w:rsidRPr="00946F2A">
        <w:rPr>
          <w:rFonts w:ascii="Century Gothic" w:eastAsia="Times New Roman" w:hAnsi="Century Gothic" w:cs="Times New Roman"/>
          <w:color w:val="000000"/>
        </w:rPr>
        <w:t xml:space="preserve">   </w:t>
      </w:r>
      <w:r w:rsidR="005D5F43">
        <w:rPr>
          <w:rFonts w:ascii="Century Gothic" w:eastAsia="Times New Roman" w:hAnsi="Century Gothic" w:cs="Times New Roman"/>
          <w:b/>
          <w:color w:val="000000"/>
        </w:rPr>
        <w:t>Timeline</w:t>
      </w:r>
    </w:p>
    <w:p w:rsidR="00540DA8" w:rsidRPr="00BB11E5" w:rsidRDefault="001431E6" w:rsidP="003D603C">
      <w:pPr>
        <w:spacing w:after="14" w:line="242" w:lineRule="auto"/>
        <w:rPr>
          <w:rFonts w:ascii="Century Gothic" w:eastAsia="Times New Roman" w:hAnsi="Century Gothic" w:cs="Times New Roman"/>
          <w:b/>
          <w:color w:val="000000"/>
        </w:rPr>
      </w:pPr>
      <w:r>
        <w:rPr>
          <w:rFonts w:ascii="Century Gothic" w:eastAsia="Times New Roman" w:hAnsi="Century Gothic" w:cs="Times New Roman"/>
          <w:b/>
          <w:color w:val="000000"/>
        </w:rPr>
        <w:t xml:space="preserve">            </w:t>
      </w:r>
    </w:p>
    <w:p w:rsidR="00540DA8" w:rsidRPr="002A6E99" w:rsidRDefault="00540DA8" w:rsidP="00B82109">
      <w:pPr>
        <w:spacing w:after="14" w:line="242" w:lineRule="auto"/>
        <w:jc w:val="both"/>
        <w:rPr>
          <w:rFonts w:ascii="Century Gothic" w:eastAsia="Times New Roman" w:hAnsi="Century Gothic" w:cs="Times New Roman"/>
          <w:b/>
        </w:rPr>
      </w:pPr>
      <w:r w:rsidRPr="00BB11E5">
        <w:rPr>
          <w:rFonts w:ascii="Century Gothic" w:eastAsia="Times New Roman" w:hAnsi="Century Gothic" w:cs="Times New Roman"/>
          <w:color w:val="000000"/>
        </w:rPr>
        <w:t xml:space="preserve">The </w:t>
      </w:r>
      <w:r w:rsidR="00E43B02" w:rsidRPr="00BB11E5">
        <w:rPr>
          <w:rFonts w:ascii="Century Gothic" w:eastAsia="Times New Roman" w:hAnsi="Century Gothic" w:cs="Times New Roman"/>
          <w:color w:val="000000"/>
        </w:rPr>
        <w:t xml:space="preserve">consultancy will commence in </w:t>
      </w:r>
      <w:r w:rsidR="00561F02" w:rsidRPr="002A6E99">
        <w:rPr>
          <w:rFonts w:ascii="Century Gothic" w:eastAsia="Times New Roman" w:hAnsi="Century Gothic" w:cs="Times New Roman"/>
          <w:b/>
        </w:rPr>
        <w:t>April</w:t>
      </w:r>
      <w:r w:rsidRPr="002A6E99">
        <w:rPr>
          <w:rFonts w:ascii="Century Gothic" w:eastAsia="Times New Roman" w:hAnsi="Century Gothic" w:cs="Times New Roman"/>
          <w:b/>
        </w:rPr>
        <w:t xml:space="preserve">, 2019 for a duration of three (3) months. </w:t>
      </w:r>
    </w:p>
    <w:p w:rsidR="00B82109" w:rsidRPr="002A6E99" w:rsidRDefault="00B82109" w:rsidP="00B82109">
      <w:pPr>
        <w:spacing w:after="14" w:line="242" w:lineRule="auto"/>
        <w:jc w:val="both"/>
        <w:rPr>
          <w:rFonts w:ascii="Century Gothic" w:eastAsia="Times New Roman" w:hAnsi="Century Gothic" w:cs="Times New Roman"/>
          <w:b/>
        </w:rPr>
      </w:pPr>
    </w:p>
    <w:p w:rsidR="00561F02" w:rsidRPr="005D5F43" w:rsidRDefault="001431E6" w:rsidP="00540DA8">
      <w:pPr>
        <w:rPr>
          <w:rFonts w:ascii="Book Antiqua" w:hAnsi="Book Antiqua"/>
          <w:sz w:val="32"/>
          <w:szCs w:val="32"/>
        </w:rPr>
      </w:pPr>
      <w:r>
        <w:rPr>
          <w:rFonts w:ascii="Century Gothic" w:eastAsia="Times New Roman" w:hAnsi="Century Gothic" w:cs="Times New Roman"/>
          <w:b/>
          <w:color w:val="000000"/>
        </w:rPr>
        <w:t xml:space="preserve">VI. </w:t>
      </w:r>
      <w:r w:rsidRPr="00946F2A">
        <w:rPr>
          <w:rFonts w:ascii="Century Gothic" w:eastAsia="Times New Roman" w:hAnsi="Century Gothic" w:cs="Times New Roman"/>
          <w:b/>
          <w:color w:val="000000"/>
        </w:rPr>
        <w:t>Qualifications</w:t>
      </w:r>
      <w:r w:rsidR="00D71496">
        <w:rPr>
          <w:rFonts w:ascii="Century Gothic" w:eastAsia="Times New Roman" w:hAnsi="Century Gothic" w:cs="Times New Roman"/>
          <w:b/>
          <w:color w:val="000000"/>
        </w:rPr>
        <w:t xml:space="preserve">&amp; Experience </w:t>
      </w:r>
    </w:p>
    <w:p w:rsidR="00D71496" w:rsidRPr="00A373C0" w:rsidRDefault="00561F02" w:rsidP="00D71496">
      <w:pPr>
        <w:spacing w:after="14" w:line="242" w:lineRule="auto"/>
        <w:jc w:val="both"/>
        <w:rPr>
          <w:rFonts w:ascii="Century Gothic" w:eastAsia="Times New Roman" w:hAnsi="Century Gothic" w:cs="Arial"/>
          <w:lang w:val="en-GB" w:eastAsia="en-GB"/>
        </w:rPr>
      </w:pPr>
      <w:r w:rsidRPr="00BB11E5">
        <w:rPr>
          <w:rFonts w:ascii="Century Gothic" w:eastAsia="Times New Roman" w:hAnsi="Century Gothic" w:cs="Arial"/>
          <w:lang w:val="en-GB" w:eastAsia="en-GB"/>
        </w:rPr>
        <w:t xml:space="preserve"> </w:t>
      </w:r>
      <w:r w:rsidR="00946F2A" w:rsidRPr="00BB11E5">
        <w:rPr>
          <w:rFonts w:ascii="Century Gothic" w:eastAsia="Times New Roman" w:hAnsi="Century Gothic" w:cs="Arial"/>
          <w:lang w:val="en-GB" w:eastAsia="en-GB"/>
        </w:rPr>
        <w:t xml:space="preserve">The qualifications </w:t>
      </w:r>
      <w:r w:rsidR="00D71496">
        <w:rPr>
          <w:rFonts w:ascii="Century Gothic" w:eastAsia="Times New Roman" w:hAnsi="Century Gothic" w:cs="Arial"/>
          <w:lang w:val="en-GB" w:eastAsia="en-GB"/>
        </w:rPr>
        <w:t xml:space="preserve">&amp; experience of the Consultant (Individual Consultant) </w:t>
      </w:r>
      <w:r w:rsidR="00D71496" w:rsidRPr="00BB11E5">
        <w:rPr>
          <w:rFonts w:ascii="Century Gothic" w:eastAsia="Times New Roman" w:hAnsi="Century Gothic" w:cs="Arial"/>
          <w:lang w:val="en-GB" w:eastAsia="en-GB"/>
        </w:rPr>
        <w:t>should</w:t>
      </w:r>
      <w:r w:rsidR="00946F2A" w:rsidRPr="00BB11E5">
        <w:rPr>
          <w:rFonts w:ascii="Century Gothic" w:eastAsia="Times New Roman" w:hAnsi="Century Gothic" w:cs="Arial"/>
          <w:lang w:val="en-GB" w:eastAsia="en-GB"/>
        </w:rPr>
        <w:t xml:space="preserve"> include, among others</w:t>
      </w:r>
      <w:r w:rsidR="00946F2A" w:rsidRPr="00BB11E5">
        <w:rPr>
          <w:rFonts w:ascii="Century Gothic" w:eastAsia="Times New Roman" w:hAnsi="Century Gothic" w:cs="Arial"/>
          <w:color w:val="FF0000"/>
          <w:lang w:val="en-GB" w:eastAsia="en-GB"/>
        </w:rPr>
        <w:t>:</w:t>
      </w:r>
    </w:p>
    <w:p w:rsidR="00D71496" w:rsidRPr="00A373C0" w:rsidRDefault="00D71496" w:rsidP="00D71496">
      <w:pPr>
        <w:spacing w:after="14" w:line="242" w:lineRule="auto"/>
        <w:jc w:val="both"/>
        <w:rPr>
          <w:rFonts w:ascii="Century Gothic" w:eastAsia="Times New Roman" w:hAnsi="Century Gothic" w:cs="Times New Roman"/>
        </w:rPr>
      </w:pPr>
    </w:p>
    <w:p w:rsidR="00D71496" w:rsidRPr="00A373C0" w:rsidRDefault="008E5DF4" w:rsidP="00D71496">
      <w:pPr>
        <w:pStyle w:val="ListParagraph"/>
        <w:numPr>
          <w:ilvl w:val="0"/>
          <w:numId w:val="28"/>
        </w:numPr>
        <w:spacing w:after="14" w:line="242" w:lineRule="auto"/>
        <w:jc w:val="both"/>
        <w:rPr>
          <w:rFonts w:ascii="Century Gothic" w:eastAsia="Times New Roman" w:hAnsi="Century Gothic" w:cs="Times New Roman"/>
        </w:rPr>
      </w:pPr>
      <w:r>
        <w:rPr>
          <w:rFonts w:ascii="Century Gothic" w:eastAsia="Times New Roman" w:hAnsi="Century Gothic" w:cs="Times New Roman"/>
        </w:rPr>
        <w:t xml:space="preserve"> A Master’s </w:t>
      </w:r>
      <w:r w:rsidR="00D71496" w:rsidRPr="00A373C0">
        <w:rPr>
          <w:rFonts w:ascii="Century Gothic" w:eastAsia="Times New Roman" w:hAnsi="Century Gothic" w:cs="Times New Roman"/>
        </w:rPr>
        <w:t xml:space="preserve">degree in law </w:t>
      </w:r>
    </w:p>
    <w:p w:rsidR="00B82109" w:rsidRPr="00354B60" w:rsidRDefault="00D71496" w:rsidP="00D71496">
      <w:pPr>
        <w:numPr>
          <w:ilvl w:val="0"/>
          <w:numId w:val="28"/>
        </w:numPr>
        <w:spacing w:after="36" w:line="248" w:lineRule="auto"/>
        <w:jc w:val="both"/>
        <w:rPr>
          <w:rFonts w:ascii="Century Gothic" w:eastAsia="Calibri" w:hAnsi="Century Gothic" w:cs="Calibri"/>
        </w:rPr>
      </w:pPr>
      <w:r w:rsidRPr="00A373C0">
        <w:rPr>
          <w:rFonts w:ascii="Century Gothic" w:eastAsia="Calibri" w:hAnsi="Century Gothic" w:cs="Calibri"/>
        </w:rPr>
        <w:t xml:space="preserve">A </w:t>
      </w:r>
      <w:r w:rsidRPr="00A373C0">
        <w:rPr>
          <w:rFonts w:ascii="Century Gothic" w:eastAsia="Times New Roman" w:hAnsi="Century Gothic" w:cs="Times New Roman"/>
        </w:rPr>
        <w:t xml:space="preserve">minimum of twenty (20) years’ experience in Competition law, </w:t>
      </w:r>
      <w:r w:rsidR="008E5DF4">
        <w:rPr>
          <w:rFonts w:ascii="Century Gothic" w:eastAsia="Times New Roman" w:hAnsi="Century Gothic" w:cs="Times New Roman"/>
        </w:rPr>
        <w:t xml:space="preserve">or Intellectual Property law </w:t>
      </w:r>
      <w:r w:rsidR="008E5DF4" w:rsidRPr="00354B60">
        <w:rPr>
          <w:rFonts w:ascii="Century Gothic" w:eastAsia="Times New Roman" w:hAnsi="Century Gothic" w:cs="Times New Roman"/>
        </w:rPr>
        <w:t xml:space="preserve">or </w:t>
      </w:r>
      <w:r w:rsidRPr="00354B60">
        <w:rPr>
          <w:rFonts w:ascii="Century Gothic" w:eastAsia="Times New Roman" w:hAnsi="Century Gothic" w:cs="Times New Roman"/>
        </w:rPr>
        <w:t xml:space="preserve"> in Trade related issues; </w:t>
      </w:r>
    </w:p>
    <w:p w:rsidR="00D71496" w:rsidRPr="00354B60" w:rsidRDefault="00D71496" w:rsidP="00D71496">
      <w:pPr>
        <w:numPr>
          <w:ilvl w:val="0"/>
          <w:numId w:val="28"/>
        </w:numPr>
        <w:spacing w:after="36" w:line="248" w:lineRule="auto"/>
        <w:jc w:val="both"/>
        <w:rPr>
          <w:rFonts w:ascii="Century Gothic" w:eastAsia="Calibri" w:hAnsi="Century Gothic" w:cs="Calibri"/>
        </w:rPr>
      </w:pPr>
      <w:r w:rsidRPr="00354B60">
        <w:rPr>
          <w:rFonts w:ascii="Century Gothic" w:eastAsia="Times New Roman" w:hAnsi="Century Gothic" w:cs="Times New Roman"/>
        </w:rPr>
        <w:t>experience in developing, revising and strengthening competition law frameworks particularly in ECOWAS, and other African RECs</w:t>
      </w:r>
    </w:p>
    <w:p w:rsidR="00D71496" w:rsidRPr="00354B60" w:rsidRDefault="00D71496" w:rsidP="00D71496">
      <w:pPr>
        <w:pStyle w:val="ListParagraph"/>
        <w:numPr>
          <w:ilvl w:val="0"/>
          <w:numId w:val="28"/>
        </w:numPr>
        <w:spacing w:after="14" w:line="242" w:lineRule="auto"/>
        <w:jc w:val="both"/>
        <w:rPr>
          <w:rFonts w:ascii="Century Gothic" w:eastAsia="Times New Roman" w:hAnsi="Century Gothic" w:cs="Times New Roman"/>
        </w:rPr>
      </w:pPr>
      <w:r w:rsidRPr="00354B60">
        <w:rPr>
          <w:rFonts w:ascii="Century Gothic" w:eastAsia="Times New Roman" w:hAnsi="Century Gothic" w:cs="Times New Roman"/>
        </w:rPr>
        <w:t>Experience</w:t>
      </w:r>
      <w:r w:rsidR="001431E6" w:rsidRPr="00354B60">
        <w:rPr>
          <w:rFonts w:ascii="Century Gothic" w:eastAsia="Times New Roman" w:hAnsi="Century Gothic" w:cs="Times New Roman"/>
        </w:rPr>
        <w:t xml:space="preserve"> in advising ECOWAS and ECOWAS Member States in competition law and in conducting capacity b</w:t>
      </w:r>
      <w:r w:rsidR="008E5DF4" w:rsidRPr="00354B60">
        <w:rPr>
          <w:rFonts w:ascii="Century Gothic" w:eastAsia="Times New Roman" w:hAnsi="Century Gothic" w:cs="Times New Roman"/>
        </w:rPr>
        <w:t xml:space="preserve">uilding programmes for </w:t>
      </w:r>
      <w:r w:rsidR="001431E6" w:rsidRPr="00354B60">
        <w:rPr>
          <w:rFonts w:ascii="Century Gothic" w:eastAsia="Times New Roman" w:hAnsi="Century Gothic" w:cs="Times New Roman"/>
        </w:rPr>
        <w:t xml:space="preserve">NCAs within the region.  </w:t>
      </w:r>
    </w:p>
    <w:p w:rsidR="00B82109" w:rsidRPr="00354B60" w:rsidRDefault="00B82109" w:rsidP="00B82109">
      <w:pPr>
        <w:pStyle w:val="ListParagraph"/>
        <w:spacing w:after="14" w:line="242" w:lineRule="auto"/>
        <w:ind w:left="1503"/>
        <w:jc w:val="both"/>
        <w:rPr>
          <w:rFonts w:ascii="Century Gothic" w:eastAsia="Times New Roman" w:hAnsi="Century Gothic" w:cs="Times New Roman"/>
          <w:color w:val="000000"/>
        </w:rPr>
      </w:pPr>
    </w:p>
    <w:p w:rsidR="001431E6" w:rsidRPr="00354B60" w:rsidRDefault="00D71496" w:rsidP="00D71496">
      <w:pPr>
        <w:pStyle w:val="ListParagraph"/>
        <w:numPr>
          <w:ilvl w:val="0"/>
          <w:numId w:val="28"/>
        </w:numPr>
        <w:spacing w:after="14" w:line="242" w:lineRule="auto"/>
        <w:jc w:val="both"/>
        <w:rPr>
          <w:rFonts w:ascii="Century Gothic" w:eastAsia="Times New Roman" w:hAnsi="Century Gothic" w:cs="Times New Roman"/>
          <w:color w:val="000000"/>
        </w:rPr>
      </w:pPr>
      <w:r w:rsidRPr="00354B60">
        <w:rPr>
          <w:rFonts w:ascii="Century Gothic" w:eastAsia="Times New Roman" w:hAnsi="Century Gothic" w:cs="Times New Roman"/>
          <w:color w:val="000000"/>
        </w:rPr>
        <w:t>Experience</w:t>
      </w:r>
      <w:r w:rsidR="001431E6" w:rsidRPr="00354B60">
        <w:rPr>
          <w:rFonts w:ascii="Century Gothic" w:eastAsia="Times New Roman" w:hAnsi="Century Gothic" w:cs="Times New Roman"/>
          <w:color w:val="000000"/>
        </w:rPr>
        <w:t xml:space="preserve"> in providing assessments of competition law frameworks, providing advisory services to Governments and regional economic communities in developing, strengthening and amending competition frameworks, and deepening regional integration. </w:t>
      </w:r>
    </w:p>
    <w:p w:rsidR="00B82109" w:rsidRPr="00354B60" w:rsidRDefault="00B82109" w:rsidP="00B82109">
      <w:pPr>
        <w:pStyle w:val="ListParagraph"/>
        <w:spacing w:after="14" w:line="242" w:lineRule="auto"/>
        <w:ind w:left="1503"/>
        <w:jc w:val="both"/>
        <w:rPr>
          <w:rFonts w:ascii="Century Gothic" w:eastAsia="Times New Roman" w:hAnsi="Century Gothic" w:cs="Times New Roman"/>
          <w:color w:val="000000"/>
        </w:rPr>
      </w:pPr>
    </w:p>
    <w:p w:rsidR="001431E6" w:rsidRPr="00354B60" w:rsidRDefault="001431E6" w:rsidP="001431E6">
      <w:pPr>
        <w:pStyle w:val="ListParagraph"/>
        <w:numPr>
          <w:ilvl w:val="0"/>
          <w:numId w:val="28"/>
        </w:numPr>
        <w:spacing w:after="14" w:line="242" w:lineRule="auto"/>
        <w:jc w:val="both"/>
        <w:rPr>
          <w:rFonts w:ascii="Century Gothic" w:eastAsia="Times New Roman" w:hAnsi="Century Gothic" w:cs="Times New Roman"/>
          <w:color w:val="000000"/>
        </w:rPr>
      </w:pPr>
      <w:r w:rsidRPr="00354B60">
        <w:rPr>
          <w:rFonts w:ascii="Century Gothic" w:eastAsia="Times New Roman" w:hAnsi="Century Gothic" w:cs="Times New Roman"/>
          <w:color w:val="000000"/>
        </w:rPr>
        <w:t>The Consultant must have legal training and experience in the ECOWAS region, exposure to or strong familiarity with the</w:t>
      </w:r>
      <w:r w:rsidR="008E5DF4" w:rsidRPr="00354B60">
        <w:rPr>
          <w:rFonts w:ascii="Century Gothic" w:eastAsia="Times New Roman" w:hAnsi="Century Gothic" w:cs="Times New Roman"/>
          <w:color w:val="000000"/>
        </w:rPr>
        <w:t xml:space="preserve"> work of Competition Authorities </w:t>
      </w:r>
      <w:r w:rsidRPr="00354B60">
        <w:rPr>
          <w:rFonts w:ascii="Century Gothic" w:eastAsia="Times New Roman" w:hAnsi="Century Gothic" w:cs="Times New Roman"/>
          <w:color w:val="000000"/>
        </w:rPr>
        <w:t xml:space="preserve"> and experience providing policy advice to NCAs and governments in the ECOWAS region.</w:t>
      </w:r>
    </w:p>
    <w:p w:rsidR="00946F2A" w:rsidRPr="00354B60" w:rsidRDefault="00946F2A" w:rsidP="00946F2A">
      <w:pPr>
        <w:spacing w:after="0" w:line="240" w:lineRule="auto"/>
        <w:jc w:val="both"/>
        <w:rPr>
          <w:rFonts w:ascii="Century Gothic" w:hAnsi="Century Gothic"/>
          <w:color w:val="FF0000"/>
        </w:rPr>
      </w:pPr>
    </w:p>
    <w:p w:rsidR="001431E6" w:rsidRPr="00354B60" w:rsidRDefault="001431E6" w:rsidP="001431E6">
      <w:pPr>
        <w:pStyle w:val="ListParagraph"/>
        <w:numPr>
          <w:ilvl w:val="0"/>
          <w:numId w:val="25"/>
        </w:numPr>
        <w:jc w:val="both"/>
        <w:rPr>
          <w:rFonts w:ascii="Century Gothic" w:hAnsi="Century Gothic" w:cs="Arial"/>
        </w:rPr>
      </w:pPr>
      <w:r w:rsidRPr="00354B60">
        <w:rPr>
          <w:rFonts w:ascii="Century Gothic" w:hAnsi="Century Gothic" w:cs="Arial"/>
        </w:rPr>
        <w:t>The Consultant must have demonstrated experience in providing technical assistance in Competition Law and in the preparation of training materials and technical assistance program for a Competition Authority.</w:t>
      </w:r>
    </w:p>
    <w:p w:rsidR="001431E6" w:rsidRPr="00354B60" w:rsidRDefault="001431E6" w:rsidP="001431E6">
      <w:pPr>
        <w:pStyle w:val="ListParagraph"/>
        <w:numPr>
          <w:ilvl w:val="0"/>
          <w:numId w:val="25"/>
        </w:numPr>
        <w:jc w:val="both"/>
        <w:rPr>
          <w:rFonts w:ascii="Century Gothic" w:hAnsi="Century Gothic" w:cs="Arial"/>
        </w:rPr>
      </w:pPr>
      <w:r w:rsidRPr="00354B60">
        <w:rPr>
          <w:rFonts w:ascii="Century Gothic" w:hAnsi="Century Gothic" w:cs="Arial"/>
        </w:rPr>
        <w:t>She/he must also have significant experience in providing technical assistance to other regional and national competition authorities in sub-Saharan Africa</w:t>
      </w:r>
      <w:r w:rsidR="00946F2A" w:rsidRPr="00354B60">
        <w:rPr>
          <w:rFonts w:ascii="Century Gothic" w:eastAsia="Calibri" w:hAnsi="Century Gothic" w:cs="Calibri"/>
          <w:color w:val="FF0000"/>
        </w:rPr>
        <w:t xml:space="preserve">;  </w:t>
      </w:r>
    </w:p>
    <w:p w:rsidR="001431E6" w:rsidRPr="00354B60" w:rsidRDefault="00946F2A" w:rsidP="001431E6">
      <w:pPr>
        <w:pStyle w:val="ListParagraph"/>
        <w:numPr>
          <w:ilvl w:val="0"/>
          <w:numId w:val="25"/>
        </w:numPr>
        <w:jc w:val="both"/>
        <w:rPr>
          <w:rFonts w:ascii="Century Gothic" w:hAnsi="Century Gothic" w:cs="Arial"/>
        </w:rPr>
      </w:pPr>
      <w:r w:rsidRPr="00354B60">
        <w:rPr>
          <w:rFonts w:ascii="Century Gothic" w:eastAsia="Calibri" w:hAnsi="Century Gothic" w:cs="Calibri"/>
        </w:rPr>
        <w:t xml:space="preserve">Fluency in English or French or Portuguese; </w:t>
      </w:r>
    </w:p>
    <w:p w:rsidR="00946F2A" w:rsidRPr="00354B60" w:rsidRDefault="00946F2A" w:rsidP="001431E6">
      <w:pPr>
        <w:pStyle w:val="ListParagraph"/>
        <w:numPr>
          <w:ilvl w:val="0"/>
          <w:numId w:val="25"/>
        </w:numPr>
        <w:jc w:val="both"/>
        <w:rPr>
          <w:rFonts w:ascii="Century Gothic" w:hAnsi="Century Gothic" w:cs="Arial"/>
        </w:rPr>
      </w:pPr>
      <w:r w:rsidRPr="00354B60">
        <w:rPr>
          <w:rFonts w:ascii="Century Gothic" w:eastAsia="Calibri" w:hAnsi="Century Gothic" w:cs="Calibri"/>
        </w:rPr>
        <w:t xml:space="preserve">Excellent research, communication and writing skills </w:t>
      </w:r>
    </w:p>
    <w:p w:rsidR="00A373C0" w:rsidRPr="00354B60" w:rsidRDefault="00A373C0" w:rsidP="00A373C0">
      <w:pPr>
        <w:jc w:val="both"/>
        <w:rPr>
          <w:rFonts w:ascii="Century Gothic" w:eastAsia="Times New Roman" w:hAnsi="Century Gothic" w:cs="Arial"/>
          <w:lang w:val="en-GB" w:eastAsia="ar-SA"/>
        </w:rPr>
      </w:pPr>
      <w:r w:rsidRPr="00354B60">
        <w:rPr>
          <w:rFonts w:ascii="Century Gothic" w:hAnsi="Century Gothic" w:cs="Arial"/>
          <w:b/>
        </w:rPr>
        <w:t>NB: Please note that the working language for this assignment shall be in English.</w:t>
      </w:r>
      <w:r w:rsidRPr="00354B60">
        <w:rPr>
          <w:rFonts w:ascii="Century Gothic" w:eastAsia="Times New Roman" w:hAnsi="Century Gothic" w:cs="Arial"/>
          <w:b/>
          <w:i/>
          <w:lang w:val="en-GB" w:eastAsia="ar-SA"/>
        </w:rPr>
        <w:t xml:space="preserve"> However, the selected consultant, if require by the client, will be expected to translate in French or Portuguese all reports submitted in English.</w:t>
      </w:r>
    </w:p>
    <w:p w:rsidR="00A373C0" w:rsidRPr="00354B60" w:rsidRDefault="00A373C0" w:rsidP="00A373C0">
      <w:pPr>
        <w:jc w:val="both"/>
        <w:rPr>
          <w:rFonts w:ascii="Century Gothic" w:hAnsi="Century Gothic" w:cs="Arial"/>
          <w:b/>
          <w:lang w:val="en-GB"/>
        </w:rPr>
      </w:pPr>
    </w:p>
    <w:p w:rsidR="00946F2A" w:rsidRPr="00354B60" w:rsidRDefault="00946F2A" w:rsidP="00946F2A">
      <w:pPr>
        <w:spacing w:after="0" w:line="240" w:lineRule="auto"/>
        <w:jc w:val="both"/>
        <w:rPr>
          <w:rFonts w:ascii="Century Gothic" w:hAnsi="Century Gothic"/>
          <w:color w:val="FF0000"/>
        </w:rPr>
      </w:pPr>
    </w:p>
    <w:p w:rsidR="00946F2A" w:rsidRPr="00354B60" w:rsidRDefault="00561F02" w:rsidP="00946F2A">
      <w:pPr>
        <w:jc w:val="both"/>
        <w:rPr>
          <w:rFonts w:ascii="Century Gothic" w:eastAsia="Times New Roman" w:hAnsi="Century Gothic" w:cs="Arial"/>
          <w:color w:val="FF0000"/>
          <w:lang w:val="en-GB" w:eastAsia="ar-SA"/>
        </w:rPr>
      </w:pPr>
      <w:r w:rsidRPr="00354B60">
        <w:rPr>
          <w:rFonts w:ascii="Century Gothic" w:eastAsia="Times New Roman" w:hAnsi="Century Gothic" w:cs="Arial"/>
          <w:b/>
          <w:lang w:val="en-GB" w:eastAsia="ar-SA"/>
        </w:rPr>
        <w:t>VII</w:t>
      </w:r>
      <w:r w:rsidR="00946F2A" w:rsidRPr="00354B60">
        <w:rPr>
          <w:rFonts w:ascii="Century Gothic" w:eastAsia="Times New Roman" w:hAnsi="Century Gothic" w:cs="Arial"/>
          <w:b/>
          <w:lang w:val="en-GB" w:eastAsia="ar-SA"/>
        </w:rPr>
        <w:t>.</w:t>
      </w:r>
      <w:r w:rsidR="00946F2A" w:rsidRPr="00354B60">
        <w:rPr>
          <w:rFonts w:ascii="Century Gothic" w:eastAsia="Times New Roman" w:hAnsi="Century Gothic" w:cs="Arial"/>
          <w:color w:val="FF0000"/>
          <w:lang w:val="en-GB" w:eastAsia="ar-SA"/>
        </w:rPr>
        <w:tab/>
      </w:r>
      <w:r w:rsidR="00946F2A" w:rsidRPr="00354B60">
        <w:rPr>
          <w:rFonts w:ascii="Century Gothic" w:eastAsia="Times New Roman" w:hAnsi="Century Gothic" w:cs="Arial"/>
          <w:lang w:val="en-GB" w:eastAsia="ar-SA"/>
        </w:rPr>
        <w:t xml:space="preserve">The ECOWAS Commission now invites eligible Consultants (Individual) to indicate interests in providing these services. The interested Consultants must provide all information supporting their qualification to perform the assignment (Kindly attach detailed Curriculum Vitae that highlights the following:  Curriculum and Certificates; Past Experiences of similar jobs over the past ten (10) years; Computer knowledge; knowledge of the area; language and any other information useful for the accomplishment of this project). </w:t>
      </w:r>
      <w:r w:rsidR="00946F2A" w:rsidRPr="00354B60">
        <w:rPr>
          <w:rFonts w:ascii="Century Gothic" w:eastAsia="Times New Roman" w:hAnsi="Century Gothic" w:cs="Arial"/>
          <w:b/>
          <w:i/>
          <w:lang w:val="en-GB" w:eastAsia="ar-SA"/>
        </w:rPr>
        <w:t>Please note that if individual consultants are proposed by firms, only the experience and qualifications of the individuals shall be used in the selection process, their corporate experience shall not be taken into account, and the contract, if given, will be signed with the proposed individuals.</w:t>
      </w:r>
    </w:p>
    <w:p w:rsidR="00946F2A" w:rsidRPr="00354B60" w:rsidRDefault="00561F02" w:rsidP="00946F2A">
      <w:pPr>
        <w:jc w:val="both"/>
        <w:rPr>
          <w:rFonts w:ascii="Century Gothic" w:eastAsia="Times New Roman" w:hAnsi="Century Gothic" w:cs="Arial"/>
          <w:lang w:val="en-GB" w:eastAsia="ar-SA"/>
        </w:rPr>
      </w:pPr>
      <w:r w:rsidRPr="00354B60">
        <w:rPr>
          <w:rFonts w:ascii="Century Gothic" w:eastAsia="Times New Roman" w:hAnsi="Century Gothic" w:cs="Arial"/>
          <w:b/>
          <w:lang w:val="en-GB" w:eastAsia="ar-SA"/>
        </w:rPr>
        <w:t>VIII</w:t>
      </w:r>
      <w:r w:rsidR="00946F2A" w:rsidRPr="00354B60">
        <w:rPr>
          <w:rFonts w:ascii="Century Gothic" w:eastAsia="Times New Roman" w:hAnsi="Century Gothic" w:cs="Arial"/>
          <w:b/>
          <w:lang w:val="en-GB" w:eastAsia="ar-SA"/>
        </w:rPr>
        <w:t>.</w:t>
      </w:r>
      <w:r w:rsidR="00946F2A" w:rsidRPr="00354B60">
        <w:rPr>
          <w:rFonts w:ascii="Century Gothic" w:eastAsia="Times New Roman" w:hAnsi="Century Gothic" w:cs="Arial"/>
          <w:lang w:val="en-GB" w:eastAsia="ar-SA"/>
        </w:rPr>
        <w:tab/>
        <w:t xml:space="preserve">The selection will be done on the basis of a comparison of curricula vitae and the selected Consultant will be invited to produce Technical and Financial Proposals which will serve as the basis for negotiation for the conclusion of the Contract Agreement. </w:t>
      </w:r>
      <w:r w:rsidR="00946F2A" w:rsidRPr="00354B60">
        <w:rPr>
          <w:rFonts w:ascii="Century Gothic" w:eastAsia="Times New Roman" w:hAnsi="Century Gothic" w:cs="Arial"/>
          <w:b/>
          <w:i/>
          <w:lang w:val="en-GB" w:eastAsia="ar-SA"/>
        </w:rPr>
        <w:t>(Selection metho</w:t>
      </w:r>
      <w:r w:rsidR="00297896" w:rsidRPr="00354B60">
        <w:rPr>
          <w:rFonts w:ascii="Century Gothic" w:eastAsia="Times New Roman" w:hAnsi="Century Gothic" w:cs="Arial"/>
          <w:b/>
          <w:i/>
          <w:lang w:val="en-GB" w:eastAsia="ar-SA"/>
        </w:rPr>
        <w:t xml:space="preserve">d: Individual Consultant </w:t>
      </w:r>
      <w:r w:rsidR="00946F2A" w:rsidRPr="00354B60">
        <w:rPr>
          <w:rFonts w:ascii="Century Gothic" w:eastAsia="Times New Roman" w:hAnsi="Century Gothic" w:cs="Arial"/>
          <w:b/>
          <w:i/>
          <w:lang w:val="en-GB" w:eastAsia="ar-SA"/>
        </w:rPr>
        <w:t>)</w:t>
      </w:r>
      <w:r w:rsidR="00946F2A" w:rsidRPr="00354B60">
        <w:rPr>
          <w:rFonts w:ascii="Century Gothic" w:eastAsia="Times New Roman" w:hAnsi="Century Gothic" w:cs="Arial"/>
          <w:lang w:val="en-GB" w:eastAsia="ar-SA"/>
        </w:rPr>
        <w:t xml:space="preserve">. </w:t>
      </w:r>
    </w:p>
    <w:p w:rsidR="00946F2A" w:rsidRPr="00354B60" w:rsidRDefault="00561F02" w:rsidP="00946F2A">
      <w:pPr>
        <w:rPr>
          <w:rFonts w:ascii="Century Gothic" w:eastAsia="Times New Roman" w:hAnsi="Century Gothic" w:cs="Arial"/>
          <w:lang w:val="en-GB" w:eastAsia="ar-SA"/>
        </w:rPr>
      </w:pPr>
      <w:r w:rsidRPr="00354B60">
        <w:rPr>
          <w:rFonts w:ascii="Century Gothic" w:eastAsia="Times New Roman" w:hAnsi="Century Gothic" w:cs="Arial"/>
          <w:b/>
          <w:lang w:val="en-GB" w:eastAsia="ar-SA"/>
        </w:rPr>
        <w:t>IX</w:t>
      </w:r>
      <w:r w:rsidR="00946F2A" w:rsidRPr="00354B60">
        <w:rPr>
          <w:rFonts w:ascii="Century Gothic" w:eastAsia="Times New Roman" w:hAnsi="Century Gothic" w:cs="Arial"/>
          <w:b/>
          <w:lang w:val="en-GB" w:eastAsia="ar-SA"/>
        </w:rPr>
        <w:t>.</w:t>
      </w:r>
      <w:r w:rsidR="00946F2A" w:rsidRPr="00354B60">
        <w:rPr>
          <w:rFonts w:ascii="Century Gothic" w:eastAsia="Times New Roman" w:hAnsi="Century Gothic" w:cs="Arial"/>
          <w:lang w:val="en-GB" w:eastAsia="ar-SA"/>
        </w:rPr>
        <w:t xml:space="preserve">          Interested consultants may obtain further information at the address below during office hours: </w:t>
      </w:r>
      <w:r w:rsidR="00946F2A" w:rsidRPr="00354B60">
        <w:rPr>
          <w:rFonts w:ascii="Century Gothic" w:eastAsia="Times New Roman" w:hAnsi="Century Gothic" w:cs="Arial"/>
          <w:b/>
          <w:lang w:val="en-GB" w:eastAsia="ar-SA"/>
        </w:rPr>
        <w:t>Monday to Friday from 9: 00 a.m. (GMT+1) to 5 .00 p.m. (GMT+1).</w:t>
      </w:r>
      <w:r w:rsidR="00946F2A" w:rsidRPr="00354B60">
        <w:rPr>
          <w:rFonts w:ascii="Century Gothic" w:eastAsia="Times New Roman" w:hAnsi="Century Gothic" w:cs="Arial"/>
          <w:lang w:val="en-GB" w:eastAsia="ar-SA"/>
        </w:rPr>
        <w:t xml:space="preserve"> </w:t>
      </w:r>
      <w:r w:rsidR="00946F2A" w:rsidRPr="00354B60">
        <w:rPr>
          <w:rFonts w:ascii="Century Gothic" w:eastAsia="Times New Roman" w:hAnsi="Century Gothic" w:cs="Arial"/>
          <w:b/>
          <w:lang w:val="en-GB" w:eastAsia="ar-SA"/>
        </w:rPr>
        <w:t xml:space="preserve">ECOWAS Commission, Directorate of General Administration, Procurement Division, 101,Yakubu Gowon Crescent Asokoro District, P. M. B. 401 Abuja Nigeria, </w:t>
      </w:r>
    </w:p>
    <w:p w:rsidR="00946F2A" w:rsidRPr="00354B60" w:rsidRDefault="00946F2A" w:rsidP="00946F2A">
      <w:pPr>
        <w:tabs>
          <w:tab w:val="left" w:pos="284"/>
          <w:tab w:val="right" w:pos="7306"/>
        </w:tabs>
        <w:suppressAutoHyphens/>
        <w:spacing w:after="0" w:line="240" w:lineRule="auto"/>
        <w:rPr>
          <w:rFonts w:ascii="Century Gothic" w:eastAsia="Times New Roman" w:hAnsi="Century Gothic" w:cs="Arial"/>
          <w:b/>
          <w:lang w:val="en-GB" w:eastAsia="ar-SA"/>
        </w:rPr>
      </w:pPr>
      <w:r w:rsidRPr="00354B60">
        <w:rPr>
          <w:rFonts w:ascii="Century Gothic" w:eastAsia="Times New Roman" w:hAnsi="Century Gothic" w:cs="Arial"/>
          <w:b/>
          <w:lang w:val="en-GB" w:eastAsia="ar-SA"/>
        </w:rPr>
        <w:lastRenderedPageBreak/>
        <w:t xml:space="preserve">Email: </w:t>
      </w:r>
      <w:hyperlink r:id="rId8" w:history="1">
        <w:r w:rsidRPr="00354B60">
          <w:rPr>
            <w:rFonts w:ascii="Century Gothic" w:eastAsia="Times New Roman" w:hAnsi="Century Gothic" w:cs="Arial"/>
            <w:b/>
            <w:color w:val="0070C0"/>
            <w:lang w:val="en-GB" w:eastAsia="ar-SA"/>
          </w:rPr>
          <w:t>procurement@ecowas.int</w:t>
        </w:r>
      </w:hyperlink>
      <w:r w:rsidR="00297896" w:rsidRPr="00354B60">
        <w:rPr>
          <w:rFonts w:ascii="Century Gothic" w:eastAsia="Times New Roman" w:hAnsi="Century Gothic" w:cs="Arial"/>
          <w:b/>
          <w:lang w:val="en-GB" w:eastAsia="ar-SA"/>
        </w:rPr>
        <w:t xml:space="preserve">;    </w:t>
      </w:r>
      <w:hyperlink r:id="rId9" w:history="1">
        <w:r w:rsidRPr="00354B60">
          <w:rPr>
            <w:rStyle w:val="Hyperlink"/>
            <w:rFonts w:ascii="Century Gothic" w:eastAsia="Times New Roman" w:hAnsi="Century Gothic" w:cs="Arial"/>
            <w:b/>
            <w:color w:val="0070C0"/>
            <w:u w:val="none"/>
            <w:lang w:val="en-GB" w:eastAsia="ar-SA"/>
          </w:rPr>
          <w:t>sbangoura@ecowas.int</w:t>
        </w:r>
      </w:hyperlink>
      <w:r w:rsidRPr="00354B60">
        <w:rPr>
          <w:rStyle w:val="Hyperlink"/>
          <w:rFonts w:ascii="Century Gothic" w:eastAsia="Times New Roman" w:hAnsi="Century Gothic" w:cs="Arial"/>
          <w:b/>
          <w:color w:val="0070C0"/>
          <w:u w:val="none"/>
          <w:lang w:val="en-GB" w:eastAsia="ar-SA"/>
        </w:rPr>
        <w:t xml:space="preserve"> </w:t>
      </w:r>
      <w:r w:rsidR="002A6E99" w:rsidRPr="00354B60">
        <w:rPr>
          <w:rStyle w:val="Hyperlink"/>
          <w:rFonts w:ascii="Century Gothic" w:eastAsia="Times New Roman" w:hAnsi="Century Gothic" w:cs="Arial"/>
          <w:b/>
          <w:color w:val="auto"/>
          <w:u w:val="none"/>
          <w:lang w:val="en-GB" w:eastAsia="ar-SA"/>
        </w:rPr>
        <w:t xml:space="preserve">; </w:t>
      </w:r>
      <w:r w:rsidR="00297896" w:rsidRPr="00354B60">
        <w:rPr>
          <w:rStyle w:val="Hyperlink"/>
          <w:rFonts w:ascii="Century Gothic" w:eastAsia="Times New Roman" w:hAnsi="Century Gothic" w:cs="Arial"/>
          <w:b/>
          <w:color w:val="auto"/>
          <w:u w:val="none"/>
          <w:lang w:val="en-GB" w:eastAsia="ar-SA"/>
        </w:rPr>
        <w:t xml:space="preserve">  </w:t>
      </w:r>
      <w:r w:rsidRPr="00354B60">
        <w:rPr>
          <w:rStyle w:val="Hyperlink"/>
          <w:rFonts w:ascii="Century Gothic" w:eastAsia="Times New Roman" w:hAnsi="Century Gothic" w:cs="Arial"/>
          <w:b/>
          <w:color w:val="auto"/>
          <w:u w:val="none"/>
          <w:lang w:val="en-GB" w:eastAsia="ar-SA"/>
        </w:rPr>
        <w:t xml:space="preserve">with copy to </w:t>
      </w:r>
      <w:hyperlink r:id="rId10" w:history="1">
        <w:r w:rsidR="002A6E99" w:rsidRPr="00354B60">
          <w:rPr>
            <w:rStyle w:val="Hyperlink"/>
            <w:rFonts w:ascii="Century Gothic" w:eastAsia="Times New Roman" w:hAnsi="Century Gothic" w:cs="Arial"/>
            <w:b/>
            <w:lang w:val="en-GB" w:eastAsia="ar-SA"/>
          </w:rPr>
          <w:t>hdidigu@ecowas.int</w:t>
        </w:r>
      </w:hyperlink>
      <w:r w:rsidR="002A6E99" w:rsidRPr="00354B60">
        <w:rPr>
          <w:rStyle w:val="Hyperlink"/>
          <w:rFonts w:ascii="Century Gothic" w:eastAsia="Times New Roman" w:hAnsi="Century Gothic" w:cs="Arial"/>
          <w:b/>
          <w:color w:val="auto"/>
          <w:u w:val="none"/>
          <w:lang w:val="en-GB" w:eastAsia="ar-SA"/>
        </w:rPr>
        <w:t>;</w:t>
      </w:r>
      <w:r w:rsidR="00297896" w:rsidRPr="00354B60">
        <w:rPr>
          <w:rStyle w:val="Hyperlink"/>
          <w:rFonts w:ascii="Century Gothic" w:eastAsia="Times New Roman" w:hAnsi="Century Gothic" w:cs="Arial"/>
          <w:b/>
          <w:color w:val="auto"/>
          <w:u w:val="none"/>
          <w:lang w:val="en-GB" w:eastAsia="ar-SA"/>
        </w:rPr>
        <w:t xml:space="preserve"> </w:t>
      </w:r>
      <w:r w:rsidR="002A6E99" w:rsidRPr="00354B60">
        <w:rPr>
          <w:rStyle w:val="Hyperlink"/>
          <w:rFonts w:ascii="Century Gothic" w:eastAsia="Times New Roman" w:hAnsi="Century Gothic" w:cs="Arial"/>
          <w:b/>
          <w:color w:val="auto"/>
          <w:u w:val="none"/>
          <w:lang w:val="en-GB" w:eastAsia="ar-SA"/>
        </w:rPr>
        <w:t xml:space="preserve"> </w:t>
      </w:r>
      <w:hyperlink r:id="rId11" w:history="1">
        <w:r w:rsidR="002A6E99" w:rsidRPr="00354B60">
          <w:rPr>
            <w:rStyle w:val="Hyperlink"/>
            <w:rFonts w:ascii="Century Gothic" w:eastAsia="Times New Roman" w:hAnsi="Century Gothic" w:cs="Arial"/>
            <w:b/>
            <w:lang w:val="en-GB" w:eastAsia="ar-SA"/>
          </w:rPr>
          <w:t>deklu@ecowas.int</w:t>
        </w:r>
      </w:hyperlink>
      <w:r w:rsidR="002A6E99" w:rsidRPr="00354B60">
        <w:rPr>
          <w:rStyle w:val="Hyperlink"/>
          <w:rFonts w:ascii="Century Gothic" w:eastAsia="Times New Roman" w:hAnsi="Century Gothic" w:cs="Arial"/>
          <w:b/>
          <w:color w:val="auto"/>
          <w:u w:val="none"/>
          <w:lang w:val="en-GB" w:eastAsia="ar-SA"/>
        </w:rPr>
        <w:t xml:space="preserve">; </w:t>
      </w:r>
      <w:r w:rsidR="00297896" w:rsidRPr="00354B60">
        <w:rPr>
          <w:rStyle w:val="Hyperlink"/>
          <w:rFonts w:ascii="Century Gothic" w:eastAsia="Times New Roman" w:hAnsi="Century Gothic" w:cs="Arial"/>
          <w:b/>
          <w:color w:val="auto"/>
          <w:u w:val="none"/>
          <w:lang w:val="en-GB" w:eastAsia="ar-SA"/>
        </w:rPr>
        <w:t xml:space="preserve"> </w:t>
      </w:r>
      <w:hyperlink r:id="rId12" w:history="1">
        <w:r w:rsidR="002A6E99" w:rsidRPr="00354B60">
          <w:rPr>
            <w:rStyle w:val="Hyperlink"/>
            <w:rFonts w:ascii="Century Gothic" w:eastAsia="Times New Roman" w:hAnsi="Century Gothic" w:cs="Arial"/>
            <w:b/>
            <w:lang w:val="en-GB" w:eastAsia="ar-SA"/>
          </w:rPr>
          <w:t>vtulay@ecowas.int</w:t>
        </w:r>
      </w:hyperlink>
      <w:r w:rsidR="002A6E99" w:rsidRPr="00354B60">
        <w:rPr>
          <w:rStyle w:val="Hyperlink"/>
          <w:rFonts w:ascii="Century Gothic" w:eastAsia="Times New Roman" w:hAnsi="Century Gothic" w:cs="Arial"/>
          <w:b/>
          <w:color w:val="auto"/>
          <w:u w:val="none"/>
          <w:lang w:val="en-GB" w:eastAsia="ar-SA"/>
        </w:rPr>
        <w:t xml:space="preserve">; </w:t>
      </w:r>
    </w:p>
    <w:p w:rsidR="00946F2A" w:rsidRPr="00354B60" w:rsidRDefault="00946F2A" w:rsidP="00946F2A">
      <w:pPr>
        <w:tabs>
          <w:tab w:val="left" w:pos="284"/>
          <w:tab w:val="right" w:pos="7306"/>
        </w:tabs>
        <w:suppressAutoHyphens/>
        <w:spacing w:after="0" w:line="240" w:lineRule="auto"/>
        <w:jc w:val="both"/>
        <w:rPr>
          <w:rFonts w:ascii="Century Gothic" w:eastAsia="Times New Roman" w:hAnsi="Century Gothic" w:cs="Arial"/>
          <w:b/>
          <w:color w:val="FF0000"/>
          <w:lang w:val="en-GB" w:eastAsia="ar-SA"/>
        </w:rPr>
      </w:pPr>
    </w:p>
    <w:p w:rsidR="002A6E99" w:rsidRPr="00354B60" w:rsidRDefault="00561F02" w:rsidP="007668F5">
      <w:pPr>
        <w:spacing w:after="14" w:line="242" w:lineRule="auto"/>
        <w:jc w:val="both"/>
        <w:rPr>
          <w:rFonts w:ascii="Century Gothic" w:eastAsia="Times New Roman" w:hAnsi="Century Gothic" w:cs="Arial"/>
          <w:b/>
          <w:lang w:val="en-GB" w:eastAsia="ar-SA"/>
        </w:rPr>
      </w:pPr>
      <w:r w:rsidRPr="00354B60">
        <w:rPr>
          <w:rFonts w:ascii="Century Gothic" w:eastAsia="Calibri" w:hAnsi="Century Gothic" w:cs="Arial"/>
          <w:b/>
          <w:spacing w:val="-2"/>
          <w:lang w:val="en-GB" w:eastAsia="en-GB"/>
        </w:rPr>
        <w:t>X</w:t>
      </w:r>
      <w:r w:rsidR="00946F2A" w:rsidRPr="00354B60">
        <w:rPr>
          <w:rFonts w:ascii="Century Gothic" w:eastAsia="Calibri" w:hAnsi="Century Gothic" w:cs="Arial"/>
          <w:b/>
          <w:spacing w:val="-2"/>
          <w:lang w:val="en-GB" w:eastAsia="en-GB"/>
        </w:rPr>
        <w:t>.</w:t>
      </w:r>
      <w:r w:rsidR="00946F2A" w:rsidRPr="00354B60">
        <w:rPr>
          <w:rFonts w:ascii="Century Gothic" w:eastAsia="Calibri" w:hAnsi="Century Gothic" w:cs="Arial"/>
          <w:spacing w:val="-2"/>
          <w:lang w:val="en-GB" w:eastAsia="en-GB"/>
        </w:rPr>
        <w:t xml:space="preserve">  </w:t>
      </w:r>
      <w:r w:rsidR="00946F2A" w:rsidRPr="00354B60">
        <w:rPr>
          <w:rFonts w:ascii="Century Gothic" w:eastAsia="Times New Roman" w:hAnsi="Century Gothic" w:cs="Arial"/>
          <w:lang w:val="en-GB" w:eastAsia="ar-SA"/>
        </w:rPr>
        <w:t>Expressions of interest must be delivered in sealed envelopes and clearly marked</w:t>
      </w:r>
      <w:r w:rsidR="00946F2A" w:rsidRPr="00354B60">
        <w:rPr>
          <w:rFonts w:ascii="Century Gothic" w:eastAsia="Times New Roman" w:hAnsi="Century Gothic" w:cs="Arial"/>
          <w:sz w:val="20"/>
          <w:szCs w:val="20"/>
          <w:lang w:val="en-GB" w:eastAsia="ar-SA"/>
        </w:rPr>
        <w:t>:</w:t>
      </w:r>
      <w:r w:rsidR="00946F2A" w:rsidRPr="00354B60">
        <w:rPr>
          <w:rFonts w:ascii="Century Gothic" w:eastAsia="Calibri" w:hAnsi="Century Gothic" w:cs="Arial"/>
          <w:spacing w:val="-2"/>
          <w:sz w:val="20"/>
          <w:szCs w:val="20"/>
          <w:lang w:val="en-GB" w:eastAsia="en-GB"/>
        </w:rPr>
        <w:t> </w:t>
      </w:r>
      <w:r w:rsidR="007668F5" w:rsidRPr="00354B60">
        <w:rPr>
          <w:rFonts w:ascii="Century Gothic" w:eastAsia="Calibri" w:hAnsi="Century Gothic" w:cs="Arial"/>
          <w:b/>
          <w:spacing w:val="-2"/>
          <w:sz w:val="20"/>
          <w:szCs w:val="20"/>
          <w:lang w:val="en-GB" w:eastAsia="en-GB"/>
        </w:rPr>
        <w:t>“</w:t>
      </w:r>
      <w:r w:rsidR="007668F5" w:rsidRPr="00354B60">
        <w:rPr>
          <w:rFonts w:ascii="Century Gothic" w:eastAsia="Times New Roman" w:hAnsi="Century Gothic" w:cs="Times New Roman"/>
          <w:b/>
          <w:smallCaps/>
          <w:sz w:val="20"/>
          <w:szCs w:val="20"/>
        </w:rPr>
        <w:t>CONSULTANCY TO DEVELOP AN OPERATIONAL FRAMEWORK FOR THE ECOWAS REGIONAL COMPETITION AUTHORITY, ACCOMPANYING REGULATIONS AND TECHNICAL SUPPORT FOR CAPACITY BUILDING</w:t>
      </w:r>
      <w:r w:rsidR="007668F5" w:rsidRPr="00354B60">
        <w:rPr>
          <w:rFonts w:ascii="Century Gothic" w:eastAsia="Times New Roman" w:hAnsi="Century Gothic" w:cs="Times New Roman"/>
          <w:b/>
          <w:smallCaps/>
        </w:rPr>
        <w:t>”</w:t>
      </w:r>
      <w:r w:rsidR="00946F2A" w:rsidRPr="00354B60">
        <w:rPr>
          <w:rFonts w:ascii="Century Gothic" w:eastAsia="Calibri" w:hAnsi="Century Gothic" w:cs="Arial"/>
          <w:b/>
          <w:spacing w:val="-2"/>
          <w:lang w:val="en-GB" w:eastAsia="en-GB"/>
        </w:rPr>
        <w:t xml:space="preserve">, </w:t>
      </w:r>
      <w:r w:rsidR="00946F2A" w:rsidRPr="00354B60">
        <w:rPr>
          <w:rFonts w:ascii="Century Gothic" w:eastAsia="Times New Roman" w:hAnsi="Century Gothic" w:cs="Arial"/>
          <w:b/>
          <w:lang w:val="en-GB" w:eastAsia="ar-SA"/>
        </w:rPr>
        <w:t>do not open except in presence of the Tender Committee</w:t>
      </w:r>
      <w:r w:rsidR="002A6E99" w:rsidRPr="00354B60">
        <w:rPr>
          <w:rFonts w:ascii="Century Gothic" w:eastAsia="Times New Roman" w:hAnsi="Century Gothic" w:cs="Arial"/>
          <w:b/>
          <w:lang w:val="en-GB" w:eastAsia="ar-SA"/>
        </w:rPr>
        <w:t xml:space="preserve">” to the address below by Thursday </w:t>
      </w:r>
      <w:r w:rsidR="00946F2A" w:rsidRPr="00354B60">
        <w:rPr>
          <w:rFonts w:ascii="Century Gothic" w:eastAsia="Times New Roman" w:hAnsi="Century Gothic" w:cs="Arial"/>
          <w:b/>
          <w:lang w:val="en-GB" w:eastAsia="ar-SA"/>
        </w:rPr>
        <w:t xml:space="preserve">, </w:t>
      </w:r>
      <w:r w:rsidR="002A6E99" w:rsidRPr="00354B60">
        <w:rPr>
          <w:rFonts w:ascii="Century Gothic" w:eastAsia="Times New Roman" w:hAnsi="Century Gothic" w:cs="Arial"/>
          <w:b/>
          <w:lang w:val="en-GB" w:eastAsia="ar-SA"/>
        </w:rPr>
        <w:t>March  28</w:t>
      </w:r>
      <w:r w:rsidR="00946F2A" w:rsidRPr="00354B60">
        <w:rPr>
          <w:rFonts w:ascii="Century Gothic" w:eastAsia="Times New Roman" w:hAnsi="Century Gothic" w:cs="Arial"/>
          <w:b/>
          <w:lang w:val="en-GB" w:eastAsia="ar-SA"/>
        </w:rPr>
        <w:t xml:space="preserve">, 2019 at 11.00 a.m (GMT+1).  </w:t>
      </w:r>
    </w:p>
    <w:p w:rsidR="00946F2A" w:rsidRPr="00354B60" w:rsidRDefault="00946F2A" w:rsidP="007668F5">
      <w:pPr>
        <w:spacing w:after="14" w:line="242" w:lineRule="auto"/>
        <w:jc w:val="both"/>
        <w:rPr>
          <w:rFonts w:ascii="Century Gothic" w:eastAsia="Times New Roman" w:hAnsi="Century Gothic" w:cs="Times New Roman"/>
          <w:b/>
          <w:smallCaps/>
          <w:sz w:val="24"/>
          <w:szCs w:val="24"/>
        </w:rPr>
      </w:pPr>
      <w:r w:rsidRPr="00354B60">
        <w:rPr>
          <w:rFonts w:ascii="Century Gothic" w:eastAsia="Times New Roman" w:hAnsi="Century Gothic" w:cs="Arial"/>
          <w:b/>
          <w:lang w:val="en-GB" w:eastAsia="ar-SA"/>
        </w:rPr>
        <w:t xml:space="preserve"> </w:t>
      </w:r>
    </w:p>
    <w:p w:rsidR="00946F2A" w:rsidRPr="00354B60" w:rsidRDefault="00561F02" w:rsidP="00946F2A">
      <w:pPr>
        <w:jc w:val="both"/>
        <w:rPr>
          <w:rFonts w:ascii="Century Gothic" w:eastAsia="Calibri" w:hAnsi="Century Gothic" w:cs="Arial"/>
          <w:b/>
          <w:spacing w:val="-2"/>
          <w:lang w:val="en-GB" w:eastAsia="en-GB"/>
        </w:rPr>
      </w:pPr>
      <w:r w:rsidRPr="00354B60">
        <w:rPr>
          <w:rFonts w:ascii="Century Gothic" w:eastAsia="Calibri" w:hAnsi="Century Gothic" w:cs="Arial"/>
          <w:b/>
          <w:spacing w:val="-2"/>
          <w:lang w:val="en-GB" w:eastAsia="en-GB"/>
        </w:rPr>
        <w:t>XI</w:t>
      </w:r>
      <w:r w:rsidR="00946F2A" w:rsidRPr="00354B60">
        <w:rPr>
          <w:rFonts w:ascii="Century Gothic" w:eastAsia="Calibri" w:hAnsi="Century Gothic" w:cs="Arial"/>
          <w:b/>
          <w:spacing w:val="-2"/>
          <w:lang w:val="en-GB" w:eastAsia="en-GB"/>
        </w:rPr>
        <w:t>.</w:t>
      </w:r>
      <w:r w:rsidR="00946F2A" w:rsidRPr="00354B60">
        <w:rPr>
          <w:rFonts w:ascii="Century Gothic" w:eastAsia="Calibri" w:hAnsi="Century Gothic" w:cs="Arial"/>
          <w:b/>
          <w:spacing w:val="-2"/>
          <w:lang w:val="en-GB" w:eastAsia="en-GB"/>
        </w:rPr>
        <w:tab/>
        <w:t xml:space="preserve">The ECOWAS Tender Box </w:t>
      </w:r>
      <w:r w:rsidR="002A6E99" w:rsidRPr="00354B60">
        <w:rPr>
          <w:rFonts w:ascii="Century Gothic" w:eastAsia="Calibri" w:hAnsi="Century Gothic" w:cs="Arial"/>
          <w:b/>
          <w:spacing w:val="-2"/>
          <w:lang w:val="en-GB" w:eastAsia="en-GB"/>
        </w:rPr>
        <w:t>is located in the Procurement Division,</w:t>
      </w:r>
      <w:r w:rsidR="00297896" w:rsidRPr="00354B60">
        <w:rPr>
          <w:rFonts w:ascii="Century Gothic" w:eastAsia="Calibri" w:hAnsi="Century Gothic" w:cs="Arial"/>
          <w:b/>
          <w:spacing w:val="-2"/>
          <w:lang w:val="en-GB" w:eastAsia="en-GB"/>
        </w:rPr>
        <w:t xml:space="preserve"> </w:t>
      </w:r>
      <w:r w:rsidR="002A6E99" w:rsidRPr="00354B60">
        <w:rPr>
          <w:rFonts w:ascii="Century Gothic" w:eastAsia="Calibri" w:hAnsi="Century Gothic" w:cs="Arial"/>
          <w:b/>
          <w:spacing w:val="-2"/>
          <w:lang w:val="en-GB" w:eastAsia="en-GB"/>
        </w:rPr>
        <w:t xml:space="preserve">Directorate of General Administration, </w:t>
      </w:r>
      <w:r w:rsidR="00297896" w:rsidRPr="00354B60">
        <w:rPr>
          <w:rFonts w:ascii="Century Gothic" w:eastAsia="Calibri" w:hAnsi="Century Gothic" w:cs="Arial"/>
          <w:b/>
          <w:spacing w:val="-2"/>
          <w:lang w:val="en-GB" w:eastAsia="en-GB"/>
        </w:rPr>
        <w:t xml:space="preserve"> </w:t>
      </w:r>
      <w:r w:rsidRPr="00354B60">
        <w:rPr>
          <w:rFonts w:ascii="Century Gothic" w:eastAsia="Calibri" w:hAnsi="Century Gothic" w:cs="Arial"/>
          <w:b/>
          <w:spacing w:val="-2"/>
          <w:lang w:val="en-GB" w:eastAsia="en-GB"/>
        </w:rPr>
        <w:t xml:space="preserve"> 1st</w:t>
      </w:r>
      <w:r w:rsidR="00946F2A" w:rsidRPr="00354B60">
        <w:rPr>
          <w:rFonts w:ascii="Century Gothic" w:eastAsia="Calibri" w:hAnsi="Century Gothic" w:cs="Arial"/>
          <w:b/>
          <w:spacing w:val="-2"/>
          <w:lang w:val="en-GB" w:eastAsia="en-GB"/>
        </w:rPr>
        <w:t xml:space="preserve"> Floor ECOWAS Commission, 101 Yakubu Gowon Crescent, Asokoro District, P. M. B. 401 Abuja Nigeria.</w:t>
      </w:r>
    </w:p>
    <w:p w:rsidR="00946F2A" w:rsidRPr="00354B60" w:rsidRDefault="00561F02" w:rsidP="00946F2A">
      <w:pPr>
        <w:jc w:val="both"/>
        <w:rPr>
          <w:rFonts w:ascii="Century Gothic" w:eastAsia="Calibri" w:hAnsi="Century Gothic" w:cs="Arial"/>
          <w:spacing w:val="-2"/>
          <w:sz w:val="24"/>
          <w:szCs w:val="24"/>
          <w:lang w:val="en-GB" w:eastAsia="en-GB"/>
        </w:rPr>
      </w:pPr>
      <w:r w:rsidRPr="00354B60">
        <w:rPr>
          <w:rFonts w:ascii="Century Gothic" w:eastAsia="Calibri" w:hAnsi="Century Gothic" w:cs="Arial"/>
          <w:b/>
          <w:spacing w:val="-2"/>
          <w:lang w:val="en-GB" w:eastAsia="en-GB"/>
        </w:rPr>
        <w:t>XII</w:t>
      </w:r>
      <w:r w:rsidR="00946F2A" w:rsidRPr="00354B60">
        <w:rPr>
          <w:rFonts w:ascii="Century Gothic" w:eastAsia="Calibri" w:hAnsi="Century Gothic" w:cs="Arial"/>
          <w:b/>
          <w:spacing w:val="-2"/>
          <w:lang w:val="en-GB" w:eastAsia="en-GB"/>
        </w:rPr>
        <w:t>.</w:t>
      </w:r>
      <w:r w:rsidR="00946F2A" w:rsidRPr="00354B60">
        <w:rPr>
          <w:rFonts w:ascii="Century Gothic" w:eastAsia="Calibri" w:hAnsi="Century Gothic" w:cs="Arial"/>
          <w:color w:val="FF0000"/>
          <w:spacing w:val="-2"/>
          <w:lang w:val="en-GB" w:eastAsia="en-GB"/>
        </w:rPr>
        <w:tab/>
      </w:r>
      <w:r w:rsidR="00946F2A" w:rsidRPr="00354B60">
        <w:rPr>
          <w:rFonts w:ascii="Century Gothic" w:eastAsia="Calibri" w:hAnsi="Century Gothic" w:cs="Arial"/>
          <w:b/>
          <w:spacing w:val="-2"/>
          <w:sz w:val="24"/>
          <w:szCs w:val="24"/>
          <w:lang w:val="en-GB" w:eastAsia="en-GB"/>
        </w:rPr>
        <w:t>Please note that electronic submissions are not accepted and will not be evaluated.</w:t>
      </w:r>
    </w:p>
    <w:p w:rsidR="00946F2A" w:rsidRPr="00354B60" w:rsidRDefault="00561F02" w:rsidP="00946F2A">
      <w:pPr>
        <w:jc w:val="both"/>
        <w:rPr>
          <w:rFonts w:ascii="Century Gothic" w:eastAsia="Calibri" w:hAnsi="Century Gothic" w:cs="Arial"/>
          <w:b/>
          <w:spacing w:val="-2"/>
          <w:u w:val="single"/>
          <w:lang w:val="en-GB" w:eastAsia="en-GB"/>
        </w:rPr>
      </w:pPr>
      <w:r w:rsidRPr="00354B60">
        <w:rPr>
          <w:rFonts w:ascii="Century Gothic" w:eastAsia="Calibri" w:hAnsi="Century Gothic" w:cs="Arial"/>
          <w:b/>
          <w:spacing w:val="-2"/>
          <w:lang w:val="en-GB" w:eastAsia="en-GB"/>
        </w:rPr>
        <w:t>XIII</w:t>
      </w:r>
      <w:r w:rsidR="00946F2A" w:rsidRPr="00354B60">
        <w:rPr>
          <w:rFonts w:ascii="Century Gothic" w:eastAsia="Calibri" w:hAnsi="Century Gothic" w:cs="Arial"/>
          <w:b/>
          <w:spacing w:val="-2"/>
          <w:lang w:val="en-GB" w:eastAsia="en-GB"/>
        </w:rPr>
        <w:t>.</w:t>
      </w:r>
      <w:r w:rsidR="00946F2A" w:rsidRPr="00354B60">
        <w:rPr>
          <w:rFonts w:ascii="Century Gothic" w:eastAsia="Calibri" w:hAnsi="Century Gothic" w:cs="Arial"/>
          <w:b/>
          <w:spacing w:val="-2"/>
          <w:lang w:val="en-GB" w:eastAsia="en-GB"/>
        </w:rPr>
        <w:tab/>
      </w:r>
      <w:r w:rsidR="00946F2A" w:rsidRPr="00354B60">
        <w:rPr>
          <w:rFonts w:ascii="Century Gothic" w:eastAsia="Calibri" w:hAnsi="Century Gothic" w:cs="Arial"/>
          <w:spacing w:val="-2"/>
          <w:lang w:val="en-GB" w:eastAsia="en-GB"/>
        </w:rPr>
        <w:t>This request for EOI can also be viewed on this website</w:t>
      </w:r>
      <w:r w:rsidR="00946F2A" w:rsidRPr="00354B60">
        <w:rPr>
          <w:rFonts w:ascii="Century Gothic" w:eastAsia="Calibri" w:hAnsi="Century Gothic" w:cs="Arial"/>
          <w:b/>
          <w:spacing w:val="-2"/>
          <w:lang w:val="en-GB" w:eastAsia="en-GB"/>
        </w:rPr>
        <w:t xml:space="preserve">: </w:t>
      </w:r>
      <w:hyperlink r:id="rId13" w:history="1">
        <w:r w:rsidR="002A6E99" w:rsidRPr="00354B60">
          <w:rPr>
            <w:rStyle w:val="Hyperlink"/>
            <w:rFonts w:ascii="Century Gothic" w:eastAsia="Calibri" w:hAnsi="Century Gothic" w:cs="Arial"/>
            <w:b/>
            <w:spacing w:val="-2"/>
            <w:lang w:val="en-GB" w:eastAsia="en-GB"/>
          </w:rPr>
          <w:t>http://www.ecowas.int/doing-  business-in-ecowas/ecowas-procurement</w:t>
        </w:r>
      </w:hyperlink>
      <w:r w:rsidR="00946F2A" w:rsidRPr="00354B60">
        <w:rPr>
          <w:rFonts w:ascii="Century Gothic" w:eastAsia="Calibri" w:hAnsi="Century Gothic" w:cs="Arial"/>
          <w:b/>
          <w:spacing w:val="-2"/>
          <w:u w:val="single"/>
          <w:lang w:val="en-GB" w:eastAsia="en-GB"/>
        </w:rPr>
        <w:t xml:space="preserve">. </w:t>
      </w:r>
    </w:p>
    <w:p w:rsidR="00946F2A" w:rsidRPr="00354B60" w:rsidRDefault="00946F2A" w:rsidP="00946F2A">
      <w:pPr>
        <w:spacing w:after="0" w:line="240" w:lineRule="auto"/>
        <w:jc w:val="both"/>
        <w:rPr>
          <w:rFonts w:ascii="Century Gothic" w:eastAsia="Times New Roman" w:hAnsi="Century Gothic" w:cs="Arial"/>
          <w:b/>
          <w:color w:val="FF0000"/>
          <w:lang w:val="en-GB" w:eastAsia="en-GB"/>
        </w:rPr>
      </w:pPr>
    </w:p>
    <w:p w:rsidR="00946F2A" w:rsidRPr="00946F2A" w:rsidRDefault="002A6E99" w:rsidP="00946F2A">
      <w:pPr>
        <w:widowControl w:val="0"/>
        <w:tabs>
          <w:tab w:val="center" w:pos="4513"/>
        </w:tabs>
        <w:suppressAutoHyphens/>
        <w:spacing w:after="0" w:line="240" w:lineRule="auto"/>
        <w:jc w:val="center"/>
        <w:rPr>
          <w:rFonts w:ascii="Century Gothic" w:eastAsia="Times New Roman" w:hAnsi="Century Gothic" w:cs="Times New Roman"/>
          <w:b/>
          <w:snapToGrid w:val="0"/>
          <w:color w:val="FF0000"/>
          <w:spacing w:val="-3"/>
          <w:lang w:val="en-GB"/>
        </w:rPr>
      </w:pPr>
      <w:r w:rsidRPr="00354B60">
        <w:rPr>
          <w:rFonts w:ascii="Century Gothic" w:eastAsia="Times New Roman" w:hAnsi="Century Gothic" w:cs="Times New Roman"/>
          <w:b/>
          <w:snapToGrid w:val="0"/>
          <w:spacing w:val="-3"/>
          <w:lang w:val="en-GB"/>
        </w:rPr>
        <w:t>THE COMMISSIONER GENERAL ADMINISTRATION&amp;CONFERENCE</w:t>
      </w:r>
      <w:r>
        <w:rPr>
          <w:rFonts w:ascii="Century Gothic" w:eastAsia="Times New Roman" w:hAnsi="Century Gothic" w:cs="Times New Roman"/>
          <w:b/>
          <w:snapToGrid w:val="0"/>
          <w:color w:val="FF0000"/>
          <w:spacing w:val="-3"/>
          <w:lang w:val="en-GB"/>
        </w:rPr>
        <w:t xml:space="preserve"> </w:t>
      </w:r>
    </w:p>
    <w:p w:rsidR="008E18CA" w:rsidRPr="00946F2A" w:rsidRDefault="008E18CA">
      <w:pPr>
        <w:rPr>
          <w:color w:val="FF0000"/>
          <w:sz w:val="32"/>
          <w:szCs w:val="32"/>
        </w:rPr>
      </w:pPr>
    </w:p>
    <w:sectPr w:rsidR="008E18CA" w:rsidRPr="00946F2A" w:rsidSect="00773A4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245" w:rsidRDefault="00635245">
      <w:pPr>
        <w:spacing w:after="0" w:line="240" w:lineRule="auto"/>
      </w:pPr>
      <w:r>
        <w:separator/>
      </w:r>
    </w:p>
  </w:endnote>
  <w:endnote w:type="continuationSeparator" w:id="0">
    <w:p w:rsidR="00635245" w:rsidRDefault="0063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612533"/>
      <w:docPartObj>
        <w:docPartGallery w:val="Page Numbers (Bottom of Page)"/>
        <w:docPartUnique/>
      </w:docPartObj>
    </w:sdtPr>
    <w:sdtEndPr>
      <w:rPr>
        <w:rFonts w:ascii="Times New Roman" w:hAnsi="Times New Roman" w:cs="Times New Roman"/>
        <w:noProof/>
      </w:rPr>
    </w:sdtEndPr>
    <w:sdtContent>
      <w:p w:rsidR="00B034E1" w:rsidRPr="00225949" w:rsidRDefault="00540DA8">
        <w:pPr>
          <w:pStyle w:val="Footer"/>
          <w:jc w:val="center"/>
          <w:rPr>
            <w:rFonts w:ascii="Times New Roman" w:hAnsi="Times New Roman" w:cs="Times New Roman"/>
          </w:rPr>
        </w:pPr>
        <w:r w:rsidRPr="00225949">
          <w:rPr>
            <w:rFonts w:ascii="Times New Roman" w:hAnsi="Times New Roman" w:cs="Times New Roman"/>
          </w:rPr>
          <w:fldChar w:fldCharType="begin"/>
        </w:r>
        <w:r w:rsidRPr="00225949">
          <w:rPr>
            <w:rFonts w:ascii="Times New Roman" w:hAnsi="Times New Roman" w:cs="Times New Roman"/>
          </w:rPr>
          <w:instrText xml:space="preserve"> PAGE   \* MERGEFORMAT </w:instrText>
        </w:r>
        <w:r w:rsidRPr="00225949">
          <w:rPr>
            <w:rFonts w:ascii="Times New Roman" w:hAnsi="Times New Roman" w:cs="Times New Roman"/>
          </w:rPr>
          <w:fldChar w:fldCharType="separate"/>
        </w:r>
        <w:r w:rsidR="00323A6A">
          <w:rPr>
            <w:rFonts w:ascii="Times New Roman" w:hAnsi="Times New Roman" w:cs="Times New Roman"/>
            <w:noProof/>
          </w:rPr>
          <w:t>2</w:t>
        </w:r>
        <w:r w:rsidRPr="00225949">
          <w:rPr>
            <w:rFonts w:ascii="Times New Roman" w:hAnsi="Times New Roman" w:cs="Times New Roman"/>
            <w:noProof/>
          </w:rPr>
          <w:fldChar w:fldCharType="end"/>
        </w:r>
      </w:p>
    </w:sdtContent>
  </w:sdt>
  <w:p w:rsidR="00B034E1" w:rsidRDefault="00635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245" w:rsidRDefault="00635245">
      <w:pPr>
        <w:spacing w:after="0" w:line="240" w:lineRule="auto"/>
      </w:pPr>
      <w:r>
        <w:separator/>
      </w:r>
    </w:p>
  </w:footnote>
  <w:footnote w:type="continuationSeparator" w:id="0">
    <w:p w:rsidR="00635245" w:rsidRDefault="00635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DF0"/>
    <w:multiLevelType w:val="hybridMultilevel"/>
    <w:tmpl w:val="830C05C6"/>
    <w:lvl w:ilvl="0" w:tplc="0809000F">
      <w:start w:val="1"/>
      <w:numFmt w:val="decimal"/>
      <w:lvlText w:val="%1."/>
      <w:lvlJc w:val="left"/>
      <w:pPr>
        <w:ind w:left="720" w:hanging="360"/>
      </w:pPr>
      <w:rPr>
        <w:rFonts w:ascii="Times New Roman" w:hAnsi="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50826"/>
    <w:multiLevelType w:val="hybridMultilevel"/>
    <w:tmpl w:val="FDBCA1DE"/>
    <w:lvl w:ilvl="0" w:tplc="05C814AA">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7F2059C"/>
    <w:multiLevelType w:val="hybridMultilevel"/>
    <w:tmpl w:val="C5F846EA"/>
    <w:lvl w:ilvl="0" w:tplc="040C000B">
      <w:start w:val="1"/>
      <w:numFmt w:val="bullet"/>
      <w:lvlText w:val=""/>
      <w:lvlJc w:val="left"/>
      <w:pPr>
        <w:ind w:left="1503" w:hanging="360"/>
      </w:pPr>
      <w:rPr>
        <w:rFonts w:ascii="Wingdings" w:hAnsi="Wingdings" w:hint="default"/>
      </w:rPr>
    </w:lvl>
    <w:lvl w:ilvl="1" w:tplc="040C0003" w:tentative="1">
      <w:start w:val="1"/>
      <w:numFmt w:val="bullet"/>
      <w:lvlText w:val="o"/>
      <w:lvlJc w:val="left"/>
      <w:pPr>
        <w:ind w:left="2223" w:hanging="360"/>
      </w:pPr>
      <w:rPr>
        <w:rFonts w:ascii="Courier New" w:hAnsi="Courier New" w:cs="Courier New" w:hint="default"/>
      </w:rPr>
    </w:lvl>
    <w:lvl w:ilvl="2" w:tplc="040C0005" w:tentative="1">
      <w:start w:val="1"/>
      <w:numFmt w:val="bullet"/>
      <w:lvlText w:val=""/>
      <w:lvlJc w:val="left"/>
      <w:pPr>
        <w:ind w:left="2943" w:hanging="360"/>
      </w:pPr>
      <w:rPr>
        <w:rFonts w:ascii="Wingdings" w:hAnsi="Wingdings" w:hint="default"/>
      </w:rPr>
    </w:lvl>
    <w:lvl w:ilvl="3" w:tplc="040C0001" w:tentative="1">
      <w:start w:val="1"/>
      <w:numFmt w:val="bullet"/>
      <w:lvlText w:val=""/>
      <w:lvlJc w:val="left"/>
      <w:pPr>
        <w:ind w:left="3663" w:hanging="360"/>
      </w:pPr>
      <w:rPr>
        <w:rFonts w:ascii="Symbol" w:hAnsi="Symbol" w:hint="default"/>
      </w:rPr>
    </w:lvl>
    <w:lvl w:ilvl="4" w:tplc="040C0003" w:tentative="1">
      <w:start w:val="1"/>
      <w:numFmt w:val="bullet"/>
      <w:lvlText w:val="o"/>
      <w:lvlJc w:val="left"/>
      <w:pPr>
        <w:ind w:left="4383" w:hanging="360"/>
      </w:pPr>
      <w:rPr>
        <w:rFonts w:ascii="Courier New" w:hAnsi="Courier New" w:cs="Courier New" w:hint="default"/>
      </w:rPr>
    </w:lvl>
    <w:lvl w:ilvl="5" w:tplc="040C0005" w:tentative="1">
      <w:start w:val="1"/>
      <w:numFmt w:val="bullet"/>
      <w:lvlText w:val=""/>
      <w:lvlJc w:val="left"/>
      <w:pPr>
        <w:ind w:left="5103" w:hanging="360"/>
      </w:pPr>
      <w:rPr>
        <w:rFonts w:ascii="Wingdings" w:hAnsi="Wingdings" w:hint="default"/>
      </w:rPr>
    </w:lvl>
    <w:lvl w:ilvl="6" w:tplc="040C0001" w:tentative="1">
      <w:start w:val="1"/>
      <w:numFmt w:val="bullet"/>
      <w:lvlText w:val=""/>
      <w:lvlJc w:val="left"/>
      <w:pPr>
        <w:ind w:left="5823" w:hanging="360"/>
      </w:pPr>
      <w:rPr>
        <w:rFonts w:ascii="Symbol" w:hAnsi="Symbol" w:hint="default"/>
      </w:rPr>
    </w:lvl>
    <w:lvl w:ilvl="7" w:tplc="040C0003" w:tentative="1">
      <w:start w:val="1"/>
      <w:numFmt w:val="bullet"/>
      <w:lvlText w:val="o"/>
      <w:lvlJc w:val="left"/>
      <w:pPr>
        <w:ind w:left="6543" w:hanging="360"/>
      </w:pPr>
      <w:rPr>
        <w:rFonts w:ascii="Courier New" w:hAnsi="Courier New" w:cs="Courier New" w:hint="default"/>
      </w:rPr>
    </w:lvl>
    <w:lvl w:ilvl="8" w:tplc="040C0005" w:tentative="1">
      <w:start w:val="1"/>
      <w:numFmt w:val="bullet"/>
      <w:lvlText w:val=""/>
      <w:lvlJc w:val="left"/>
      <w:pPr>
        <w:ind w:left="7263" w:hanging="360"/>
      </w:pPr>
      <w:rPr>
        <w:rFonts w:ascii="Wingdings" w:hAnsi="Wingdings" w:hint="default"/>
      </w:rPr>
    </w:lvl>
  </w:abstractNum>
  <w:abstractNum w:abstractNumId="3" w15:restartNumberingAfterBreak="0">
    <w:nsid w:val="147F7F5B"/>
    <w:multiLevelType w:val="hybridMultilevel"/>
    <w:tmpl w:val="179ADB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58E6273"/>
    <w:multiLevelType w:val="hybridMultilevel"/>
    <w:tmpl w:val="2FF0839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66955C8"/>
    <w:multiLevelType w:val="hybridMultilevel"/>
    <w:tmpl w:val="5792FB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F4678A"/>
    <w:multiLevelType w:val="hybridMultilevel"/>
    <w:tmpl w:val="55D8A672"/>
    <w:lvl w:ilvl="0" w:tplc="738AF422">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43A56DB"/>
    <w:multiLevelType w:val="hybridMultilevel"/>
    <w:tmpl w:val="C6B24A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67C61"/>
    <w:multiLevelType w:val="hybridMultilevel"/>
    <w:tmpl w:val="CA302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CD2A12"/>
    <w:multiLevelType w:val="hybridMultilevel"/>
    <w:tmpl w:val="D90AD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F10D89"/>
    <w:multiLevelType w:val="hybridMultilevel"/>
    <w:tmpl w:val="ECA4CEFA"/>
    <w:lvl w:ilvl="0" w:tplc="EFFE65D6">
      <w:start w:val="1"/>
      <w:numFmt w:val="lowerLetter"/>
      <w:lvlText w:val="%1)"/>
      <w:lvlJc w:val="left"/>
      <w:pPr>
        <w:ind w:left="810" w:hanging="360"/>
      </w:pPr>
      <w:rPr>
        <w:color w:val="auto"/>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1" w15:restartNumberingAfterBreak="0">
    <w:nsid w:val="4279593F"/>
    <w:multiLevelType w:val="hybridMultilevel"/>
    <w:tmpl w:val="C9E8700C"/>
    <w:lvl w:ilvl="0" w:tplc="738AF422">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7B53BF0"/>
    <w:multiLevelType w:val="multilevel"/>
    <w:tmpl w:val="89086868"/>
    <w:lvl w:ilvl="0">
      <w:start w:val="1"/>
      <w:numFmt w:val="decimal"/>
      <w:lvlText w:val="%1."/>
      <w:lvlJc w:val="left"/>
      <w:pPr>
        <w:tabs>
          <w:tab w:val="num" w:pos="2880"/>
        </w:tabs>
        <w:ind w:left="2880" w:hanging="360"/>
      </w:pPr>
    </w:lvl>
    <w:lvl w:ilvl="1">
      <w:start w:val="1"/>
      <w:numFmt w:val="decimal"/>
      <w:isLgl/>
      <w:lvlText w:val="%1.%2"/>
      <w:lvlJc w:val="left"/>
      <w:pPr>
        <w:tabs>
          <w:tab w:val="num" w:pos="2880"/>
        </w:tabs>
        <w:ind w:left="2880" w:hanging="360"/>
      </w:pPr>
      <w:rPr>
        <w:b/>
      </w:rPr>
    </w:lvl>
    <w:lvl w:ilvl="2">
      <w:start w:val="1"/>
      <w:numFmt w:val="decimal"/>
      <w:isLgl/>
      <w:lvlText w:val="%1.%2.%3"/>
      <w:lvlJc w:val="left"/>
      <w:pPr>
        <w:tabs>
          <w:tab w:val="num" w:pos="3240"/>
        </w:tabs>
        <w:ind w:left="3240" w:hanging="720"/>
      </w:pPr>
      <w:rPr>
        <w:b w:val="0"/>
      </w:rPr>
    </w:lvl>
    <w:lvl w:ilvl="3">
      <w:start w:val="1"/>
      <w:numFmt w:val="decimal"/>
      <w:isLgl/>
      <w:lvlText w:val="%1.%2.%3.%4"/>
      <w:lvlJc w:val="left"/>
      <w:pPr>
        <w:tabs>
          <w:tab w:val="num" w:pos="3240"/>
        </w:tabs>
        <w:ind w:left="3240" w:hanging="720"/>
      </w:pPr>
      <w:rPr>
        <w:i w:val="0"/>
      </w:rPr>
    </w:lvl>
    <w:lvl w:ilvl="4">
      <w:start w:val="1"/>
      <w:numFmt w:val="decimal"/>
      <w:isLgl/>
      <w:lvlText w:val="%1.%2.%3.%4.%5"/>
      <w:lvlJc w:val="left"/>
      <w:pPr>
        <w:tabs>
          <w:tab w:val="num" w:pos="3600"/>
        </w:tabs>
        <w:ind w:left="3600" w:hanging="1080"/>
      </w:pPr>
    </w:lvl>
    <w:lvl w:ilvl="5">
      <w:start w:val="1"/>
      <w:numFmt w:val="decimal"/>
      <w:isLgl/>
      <w:lvlText w:val="%1.%2.%3.%4.%5.%6"/>
      <w:lvlJc w:val="left"/>
      <w:pPr>
        <w:tabs>
          <w:tab w:val="num" w:pos="3600"/>
        </w:tabs>
        <w:ind w:left="360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800"/>
      </w:pPr>
    </w:lvl>
  </w:abstractNum>
  <w:abstractNum w:abstractNumId="13" w15:restartNumberingAfterBreak="0">
    <w:nsid w:val="4DDB0F12"/>
    <w:multiLevelType w:val="hybridMultilevel"/>
    <w:tmpl w:val="8CC4D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7F551F"/>
    <w:multiLevelType w:val="hybridMultilevel"/>
    <w:tmpl w:val="7BE810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BE411E"/>
    <w:multiLevelType w:val="hybridMultilevel"/>
    <w:tmpl w:val="E1889824"/>
    <w:lvl w:ilvl="0" w:tplc="0D76CCCE">
      <w:start w:val="1"/>
      <w:numFmt w:val="bullet"/>
      <w:lvlText w:val="•"/>
      <w:lvlJc w:val="left"/>
      <w:pPr>
        <w:ind w:left="7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B1E6474">
      <w:start w:val="1"/>
      <w:numFmt w:val="bullet"/>
      <w:lvlText w:val="o"/>
      <w:lvlJc w:val="left"/>
      <w:pPr>
        <w:ind w:left="15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468FAC6">
      <w:start w:val="1"/>
      <w:numFmt w:val="bullet"/>
      <w:lvlText w:val="▪"/>
      <w:lvlJc w:val="left"/>
      <w:pPr>
        <w:ind w:left="22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CFA1046">
      <w:start w:val="1"/>
      <w:numFmt w:val="bullet"/>
      <w:lvlText w:val="•"/>
      <w:lvlJc w:val="left"/>
      <w:pPr>
        <w:ind w:left="295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F8E0FE4">
      <w:start w:val="1"/>
      <w:numFmt w:val="bullet"/>
      <w:lvlText w:val="o"/>
      <w:lvlJc w:val="left"/>
      <w:pPr>
        <w:ind w:left="36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BB8AC94">
      <w:start w:val="1"/>
      <w:numFmt w:val="bullet"/>
      <w:lvlText w:val="▪"/>
      <w:lvlJc w:val="left"/>
      <w:pPr>
        <w:ind w:left="43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14839AE">
      <w:start w:val="1"/>
      <w:numFmt w:val="bullet"/>
      <w:lvlText w:val="•"/>
      <w:lvlJc w:val="left"/>
      <w:pPr>
        <w:ind w:left="511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4384B22">
      <w:start w:val="1"/>
      <w:numFmt w:val="bullet"/>
      <w:lvlText w:val="o"/>
      <w:lvlJc w:val="left"/>
      <w:pPr>
        <w:ind w:left="58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568B70A">
      <w:start w:val="1"/>
      <w:numFmt w:val="bullet"/>
      <w:lvlText w:val="▪"/>
      <w:lvlJc w:val="left"/>
      <w:pPr>
        <w:ind w:left="65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5F505473"/>
    <w:multiLevelType w:val="hybridMultilevel"/>
    <w:tmpl w:val="E252E314"/>
    <w:lvl w:ilvl="0" w:tplc="738AF422">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62622090"/>
    <w:multiLevelType w:val="hybridMultilevel"/>
    <w:tmpl w:val="7A8231D6"/>
    <w:lvl w:ilvl="0" w:tplc="50461DBC">
      <w:start w:val="1"/>
      <w:numFmt w:val="low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B21863"/>
    <w:multiLevelType w:val="multilevel"/>
    <w:tmpl w:val="A9ACC31C"/>
    <w:lvl w:ilvl="0">
      <w:start w:val="1"/>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67631963"/>
    <w:multiLevelType w:val="hybridMultilevel"/>
    <w:tmpl w:val="7B8885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57574E"/>
    <w:multiLevelType w:val="hybridMultilevel"/>
    <w:tmpl w:val="4088F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29280B"/>
    <w:multiLevelType w:val="hybridMultilevel"/>
    <w:tmpl w:val="5436175C"/>
    <w:lvl w:ilvl="0" w:tplc="C0FE5B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027A16"/>
    <w:multiLevelType w:val="hybridMultilevel"/>
    <w:tmpl w:val="D2E8889C"/>
    <w:lvl w:ilvl="0" w:tplc="63E84F0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5A55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34E7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4643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54EC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0A87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B21C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3E25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CC29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404181C"/>
    <w:multiLevelType w:val="hybridMultilevel"/>
    <w:tmpl w:val="54325A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1007AC"/>
    <w:multiLevelType w:val="hybridMultilevel"/>
    <w:tmpl w:val="288AC15A"/>
    <w:lvl w:ilvl="0" w:tplc="0409000F">
      <w:start w:val="1"/>
      <w:numFmt w:val="decimal"/>
      <w:lvlText w:val="%1."/>
      <w:lvlJc w:val="left"/>
      <w:pPr>
        <w:tabs>
          <w:tab w:val="num" w:pos="720"/>
        </w:tabs>
        <w:ind w:left="720" w:hanging="360"/>
      </w:pPr>
    </w:lvl>
    <w:lvl w:ilvl="1" w:tplc="738AF422">
      <w:start w:val="1"/>
      <w:numFmt w:val="lowerRoman"/>
      <w:lvlText w:val="(%2)"/>
      <w:lvlJc w:val="left"/>
      <w:pPr>
        <w:tabs>
          <w:tab w:val="num" w:pos="720"/>
        </w:tabs>
        <w:ind w:left="72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EB943C9"/>
    <w:multiLevelType w:val="hybridMultilevel"/>
    <w:tmpl w:val="D766233C"/>
    <w:lvl w:ilvl="0" w:tplc="040C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E72672"/>
    <w:multiLevelType w:val="hybridMultilevel"/>
    <w:tmpl w:val="41FEFE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
  </w:num>
  <w:num w:numId="11">
    <w:abstractNumId w:val="12"/>
  </w:num>
  <w:num w:numId="12">
    <w:abstractNumId w:val="5"/>
  </w:num>
  <w:num w:numId="13">
    <w:abstractNumId w:val="14"/>
  </w:num>
  <w:num w:numId="14">
    <w:abstractNumId w:val="23"/>
  </w:num>
  <w:num w:numId="15">
    <w:abstractNumId w:val="26"/>
  </w:num>
  <w:num w:numId="16">
    <w:abstractNumId w:val="17"/>
  </w:num>
  <w:num w:numId="17">
    <w:abstractNumId w:val="7"/>
  </w:num>
  <w:num w:numId="18">
    <w:abstractNumId w:val="10"/>
  </w:num>
  <w:num w:numId="19">
    <w:abstractNumId w:val="0"/>
  </w:num>
  <w:num w:numId="20">
    <w:abstractNumId w:val="18"/>
  </w:num>
  <w:num w:numId="21">
    <w:abstractNumId w:val="13"/>
  </w:num>
  <w:num w:numId="22">
    <w:abstractNumId w:val="9"/>
  </w:num>
  <w:num w:numId="23">
    <w:abstractNumId w:val="20"/>
  </w:num>
  <w:num w:numId="24">
    <w:abstractNumId w:val="22"/>
  </w:num>
  <w:num w:numId="25">
    <w:abstractNumId w:val="25"/>
  </w:num>
  <w:num w:numId="26">
    <w:abstractNumId w:val="19"/>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A8"/>
    <w:rsid w:val="00055A6A"/>
    <w:rsid w:val="001109C2"/>
    <w:rsid w:val="001431E6"/>
    <w:rsid w:val="00151DA3"/>
    <w:rsid w:val="00167CEB"/>
    <w:rsid w:val="00227088"/>
    <w:rsid w:val="00297896"/>
    <w:rsid w:val="002A6E99"/>
    <w:rsid w:val="00323A6A"/>
    <w:rsid w:val="003454F1"/>
    <w:rsid w:val="00354B60"/>
    <w:rsid w:val="003D603C"/>
    <w:rsid w:val="003E7268"/>
    <w:rsid w:val="004069F2"/>
    <w:rsid w:val="00431337"/>
    <w:rsid w:val="00466660"/>
    <w:rsid w:val="004C2BCF"/>
    <w:rsid w:val="00540DA8"/>
    <w:rsid w:val="00561F02"/>
    <w:rsid w:val="00571E71"/>
    <w:rsid w:val="0057779F"/>
    <w:rsid w:val="005D5F43"/>
    <w:rsid w:val="00635245"/>
    <w:rsid w:val="007668F5"/>
    <w:rsid w:val="00773741"/>
    <w:rsid w:val="007D7719"/>
    <w:rsid w:val="00890DEC"/>
    <w:rsid w:val="008E18CA"/>
    <w:rsid w:val="008E5DF4"/>
    <w:rsid w:val="00946F2A"/>
    <w:rsid w:val="009868F3"/>
    <w:rsid w:val="009D7BF1"/>
    <w:rsid w:val="00A373C0"/>
    <w:rsid w:val="00A62EFB"/>
    <w:rsid w:val="00A81B8F"/>
    <w:rsid w:val="00AB0A2E"/>
    <w:rsid w:val="00B2276F"/>
    <w:rsid w:val="00B65C9D"/>
    <w:rsid w:val="00B82109"/>
    <w:rsid w:val="00B9032A"/>
    <w:rsid w:val="00B953CE"/>
    <w:rsid w:val="00BB11E5"/>
    <w:rsid w:val="00BD283A"/>
    <w:rsid w:val="00BF69D2"/>
    <w:rsid w:val="00C15630"/>
    <w:rsid w:val="00C537E0"/>
    <w:rsid w:val="00C65E2B"/>
    <w:rsid w:val="00CF54F4"/>
    <w:rsid w:val="00D71496"/>
    <w:rsid w:val="00DA6C88"/>
    <w:rsid w:val="00E43B02"/>
    <w:rsid w:val="00E67AC1"/>
    <w:rsid w:val="00ED3ECC"/>
    <w:rsid w:val="00ED7CD0"/>
    <w:rsid w:val="00FD20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C3442-4F24-437A-8D12-B5F369A9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DA8"/>
    <w:rPr>
      <w:lang w:val="en-US"/>
    </w:rPr>
  </w:style>
  <w:style w:type="paragraph" w:styleId="Heading1">
    <w:name w:val="heading 1"/>
    <w:next w:val="Normal"/>
    <w:link w:val="Heading1Char"/>
    <w:uiPriority w:val="9"/>
    <w:unhideWhenUsed/>
    <w:qFormat/>
    <w:rsid w:val="004069F2"/>
    <w:pPr>
      <w:keepNext/>
      <w:keepLines/>
      <w:spacing w:after="5" w:line="249" w:lineRule="auto"/>
      <w:ind w:left="3699" w:hanging="10"/>
      <w:outlineLvl w:val="0"/>
    </w:pPr>
    <w:rPr>
      <w:rFonts w:ascii="Calibri" w:eastAsia="Calibri" w:hAnsi="Calibri" w:cs="Calibri"/>
      <w:b/>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40DA8"/>
    <w:pPr>
      <w:spacing w:after="0" w:line="240" w:lineRule="auto"/>
    </w:pPr>
    <w:rPr>
      <w:rFonts w:eastAsia="Times New Roman"/>
      <w:lang w:val="en-US"/>
    </w:rPr>
    <w:tblPr>
      <w:tblCellMar>
        <w:top w:w="0" w:type="dxa"/>
        <w:left w:w="0" w:type="dxa"/>
        <w:bottom w:w="0" w:type="dxa"/>
        <w:right w:w="0" w:type="dxa"/>
      </w:tblCellMar>
    </w:tblPr>
  </w:style>
  <w:style w:type="paragraph" w:styleId="ListParagraph">
    <w:name w:val="List Paragraph"/>
    <w:basedOn w:val="Normal"/>
    <w:uiPriority w:val="34"/>
    <w:qFormat/>
    <w:rsid w:val="00540DA8"/>
    <w:pPr>
      <w:ind w:left="720"/>
      <w:contextualSpacing/>
    </w:pPr>
  </w:style>
  <w:style w:type="paragraph" w:styleId="Header">
    <w:name w:val="header"/>
    <w:basedOn w:val="Normal"/>
    <w:link w:val="HeaderChar"/>
    <w:uiPriority w:val="99"/>
    <w:unhideWhenUsed/>
    <w:rsid w:val="00540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DA8"/>
    <w:rPr>
      <w:lang w:val="en-US"/>
    </w:rPr>
  </w:style>
  <w:style w:type="paragraph" w:styleId="Footer">
    <w:name w:val="footer"/>
    <w:basedOn w:val="Normal"/>
    <w:link w:val="FooterChar"/>
    <w:uiPriority w:val="99"/>
    <w:unhideWhenUsed/>
    <w:rsid w:val="00540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DA8"/>
    <w:rPr>
      <w:lang w:val="en-US"/>
    </w:rPr>
  </w:style>
  <w:style w:type="paragraph" w:styleId="BalloonText">
    <w:name w:val="Balloon Text"/>
    <w:basedOn w:val="Normal"/>
    <w:link w:val="BalloonTextChar"/>
    <w:uiPriority w:val="99"/>
    <w:semiHidden/>
    <w:unhideWhenUsed/>
    <w:rsid w:val="00540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DA8"/>
    <w:rPr>
      <w:rFonts w:ascii="Tahoma" w:hAnsi="Tahoma" w:cs="Tahoma"/>
      <w:sz w:val="16"/>
      <w:szCs w:val="16"/>
      <w:lang w:val="en-US"/>
    </w:rPr>
  </w:style>
  <w:style w:type="character" w:customStyle="1" w:styleId="Heading1Char">
    <w:name w:val="Heading 1 Char"/>
    <w:basedOn w:val="DefaultParagraphFont"/>
    <w:link w:val="Heading1"/>
    <w:uiPriority w:val="9"/>
    <w:rsid w:val="004069F2"/>
    <w:rPr>
      <w:rFonts w:ascii="Calibri" w:eastAsia="Calibri" w:hAnsi="Calibri" w:cs="Calibri"/>
      <w:b/>
      <w:color w:val="000000"/>
      <w:lang w:val="en-US"/>
    </w:rPr>
  </w:style>
  <w:style w:type="character" w:styleId="Hyperlink">
    <w:name w:val="Hyperlink"/>
    <w:basedOn w:val="DefaultParagraphFont"/>
    <w:uiPriority w:val="99"/>
    <w:unhideWhenUsed/>
    <w:rsid w:val="00946F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ecowas.int" TargetMode="External"/><Relationship Id="rId13" Type="http://schemas.openxmlformats.org/officeDocument/2006/relationships/hyperlink" Target="http://www.ecowas.int/doing-%20%20business-in-ecowas/ecowas-procureme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tulay@ecowas.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klu@ecowas.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didigu@ecowas.int" TargetMode="External"/><Relationship Id="rId4" Type="http://schemas.openxmlformats.org/officeDocument/2006/relationships/webSettings" Target="webSettings.xml"/><Relationship Id="rId9" Type="http://schemas.openxmlformats.org/officeDocument/2006/relationships/hyperlink" Target="mailto:sbangoura@ecowas.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Didigu</dc:creator>
  <cp:lastModifiedBy>Kubglenu Jonas ADUNKPE</cp:lastModifiedBy>
  <cp:revision>2</cp:revision>
  <cp:lastPrinted>2019-03-11T14:13:00Z</cp:lastPrinted>
  <dcterms:created xsi:type="dcterms:W3CDTF">2019-03-11T14:15:00Z</dcterms:created>
  <dcterms:modified xsi:type="dcterms:W3CDTF">2019-03-11T14:15:00Z</dcterms:modified>
</cp:coreProperties>
</file>