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6"/>
        <w:gridCol w:w="1504"/>
        <w:gridCol w:w="2410"/>
        <w:gridCol w:w="3628"/>
      </w:tblGrid>
      <w:tr w:rsidR="00D066EE" w:rsidTr="00D066EE">
        <w:tc>
          <w:tcPr>
            <w:tcW w:w="1686" w:type="dxa"/>
          </w:tcPr>
          <w:p w:rsidR="00D066EE" w:rsidRDefault="003F34FC">
            <w:r>
              <w:rPr>
                <w:noProof/>
                <w:lang w:eastAsia="fr-FR"/>
              </w:rPr>
              <w:drawing>
                <wp:inline distT="0" distB="0" distL="0" distR="0">
                  <wp:extent cx="952500" cy="952500"/>
                  <wp:effectExtent l="19050" t="0" r="0" b="0"/>
                  <wp:docPr id="2" name="Image 1" descr="cropped-Logo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Logo_100.png"/>
                          <pic:cNvPicPr/>
                        </pic:nvPicPr>
                        <pic:blipFill>
                          <a:blip r:embed="rId8"/>
                          <a:stretch>
                            <a:fillRect/>
                          </a:stretch>
                        </pic:blipFill>
                        <pic:spPr>
                          <a:xfrm>
                            <a:off x="0" y="0"/>
                            <a:ext cx="952500" cy="952500"/>
                          </a:xfrm>
                          <a:prstGeom prst="rect">
                            <a:avLst/>
                          </a:prstGeom>
                        </pic:spPr>
                      </pic:pic>
                    </a:graphicData>
                  </a:graphic>
                </wp:inline>
              </w:drawing>
            </w:r>
          </w:p>
        </w:tc>
        <w:tc>
          <w:tcPr>
            <w:tcW w:w="1518" w:type="dxa"/>
          </w:tcPr>
          <w:p w:rsidR="00D066EE" w:rsidRDefault="00D066EE"/>
        </w:tc>
        <w:tc>
          <w:tcPr>
            <w:tcW w:w="2433" w:type="dxa"/>
          </w:tcPr>
          <w:p w:rsidR="00D066EE" w:rsidRDefault="00D066EE">
            <w:r>
              <w:rPr>
                <w:noProof/>
                <w:lang w:eastAsia="fr-FR"/>
              </w:rPr>
              <w:drawing>
                <wp:anchor distT="0" distB="0" distL="114300" distR="114300" simplePos="0" relativeHeight="251659264" behindDoc="0" locked="0" layoutInCell="1" allowOverlap="1">
                  <wp:simplePos x="0" y="0"/>
                  <wp:positionH relativeFrom="column">
                    <wp:posOffset>420235</wp:posOffset>
                  </wp:positionH>
                  <wp:positionV relativeFrom="paragraph">
                    <wp:posOffset>43180</wp:posOffset>
                  </wp:positionV>
                  <wp:extent cx="957600" cy="662400"/>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57600" cy="662400"/>
                          </a:xfrm>
                          <a:prstGeom prst="rect">
                            <a:avLst/>
                          </a:prstGeom>
                          <a:noFill/>
                          <a:ln>
                            <a:noFill/>
                          </a:ln>
                        </pic:spPr>
                      </pic:pic>
                    </a:graphicData>
                  </a:graphic>
                </wp:anchor>
              </w:drawing>
            </w:r>
          </w:p>
        </w:tc>
        <w:tc>
          <w:tcPr>
            <w:tcW w:w="3651" w:type="dxa"/>
          </w:tcPr>
          <w:p w:rsidR="00D066EE" w:rsidRDefault="00D066EE" w:rsidP="003529B6">
            <w:pPr>
              <w:jc w:val="right"/>
            </w:pPr>
            <w:r>
              <w:rPr>
                <w:b/>
                <w:noProof/>
                <w:sz w:val="28"/>
                <w:szCs w:val="28"/>
                <w:lang w:eastAsia="fr-FR"/>
              </w:rPr>
              <w:drawing>
                <wp:inline distT="0" distB="0" distL="0" distR="0">
                  <wp:extent cx="820800" cy="820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9150" cy="819150"/>
                          </a:xfrm>
                          <a:prstGeom prst="rect">
                            <a:avLst/>
                          </a:prstGeom>
                          <a:noFill/>
                        </pic:spPr>
                      </pic:pic>
                    </a:graphicData>
                  </a:graphic>
                </wp:inline>
              </w:drawing>
            </w:r>
          </w:p>
          <w:p w:rsidR="00D066EE" w:rsidRDefault="00D066EE"/>
          <w:p w:rsidR="00D066EE" w:rsidRDefault="00D066EE"/>
        </w:tc>
      </w:tr>
    </w:tbl>
    <w:p w:rsidR="00D10196" w:rsidRDefault="006E137C" w:rsidP="008F76E1">
      <w:pPr>
        <w:ind w:left="-284" w:right="-567"/>
        <w:jc w:val="center"/>
        <w:rPr>
          <w:b/>
        </w:rPr>
      </w:pPr>
      <w:r>
        <w:rPr>
          <w:b/>
        </w:rPr>
        <w:t>3</w:t>
      </w:r>
      <w:r w:rsidRPr="006E137C">
        <w:rPr>
          <w:b/>
          <w:vertAlign w:val="superscript"/>
        </w:rPr>
        <w:t>ème</w:t>
      </w:r>
      <w:r>
        <w:rPr>
          <w:b/>
        </w:rPr>
        <w:t xml:space="preserve"> réunion du Comité d’Orientation Stratégique</w:t>
      </w:r>
    </w:p>
    <w:p w:rsidR="00F86FF0" w:rsidRPr="006E137C" w:rsidRDefault="00ED7C81" w:rsidP="00F86FF0">
      <w:pPr>
        <w:ind w:left="-284" w:right="-567"/>
        <w:jc w:val="center"/>
      </w:pPr>
      <w:r>
        <w:t>C</w:t>
      </w:r>
      <w:r w:rsidR="006E137C" w:rsidRPr="006E137C">
        <w:t>onclusions</w:t>
      </w:r>
    </w:p>
    <w:p w:rsidR="00F86FF0" w:rsidRPr="006E137C" w:rsidRDefault="006E137C" w:rsidP="00D13AA4">
      <w:pPr>
        <w:pStyle w:val="Paragraphedeliste"/>
        <w:numPr>
          <w:ilvl w:val="0"/>
          <w:numId w:val="35"/>
        </w:numPr>
        <w:ind w:right="-567"/>
        <w:jc w:val="center"/>
      </w:pPr>
      <w:r>
        <w:t>juin 2016, Lomé</w:t>
      </w:r>
    </w:p>
    <w:p w:rsidR="003E0FCD" w:rsidRPr="00F86FF0" w:rsidRDefault="003E0FCD" w:rsidP="003E0FCD">
      <w:pPr>
        <w:spacing w:after="0"/>
        <w:ind w:left="-284" w:right="-567"/>
        <w:jc w:val="center"/>
        <w:rPr>
          <w:b/>
          <w:u w:val="single"/>
        </w:rPr>
      </w:pPr>
    </w:p>
    <w:p w:rsidR="003529B6" w:rsidRDefault="0009200B" w:rsidP="00D13AA4">
      <w:pPr>
        <w:pStyle w:val="Paragraphedeliste"/>
        <w:numPr>
          <w:ilvl w:val="0"/>
          <w:numId w:val="36"/>
        </w:numPr>
        <w:spacing w:after="0"/>
        <w:ind w:left="567" w:hanging="578"/>
        <w:jc w:val="both"/>
      </w:pPr>
      <w:r>
        <w:t>L’Union européenne (UE), la Communauté Economique des Etats de l’Afrique de l’Ouest (CEDEAO) et l’Union Economique et Monétaire Ouest-Africaine (UEMOA) ont tenu la troisième réunion du Comité d’Orientation Stratégique (COS) à Lomé, en République togolaise</w:t>
      </w:r>
      <w:r w:rsidR="00066BDB">
        <w:t xml:space="preserve">, </w:t>
      </w:r>
      <w:r w:rsidR="002C69B1">
        <w:t>le</w:t>
      </w:r>
      <w:r w:rsidR="00066BDB">
        <w:t xml:space="preserve"> 2</w:t>
      </w:r>
      <w:r w:rsidR="002C69B1">
        <w:t>3</w:t>
      </w:r>
      <w:r w:rsidR="00066BDB">
        <w:t xml:space="preserve"> juin 2016. Cette troisième réunion à laquelle ont pris part les Ordonnateurs Nationaux de la région, </w:t>
      </w:r>
      <w:r w:rsidR="00912774">
        <w:t>a permis de prendre des décisions importantes et de faire des recomm</w:t>
      </w:r>
      <w:bookmarkStart w:id="0" w:name="_GoBack"/>
      <w:bookmarkEnd w:id="0"/>
      <w:r w:rsidR="00912774">
        <w:t>andations pour la poursuite de la mise en œuvre d</w:t>
      </w:r>
      <w:r w:rsidR="00811448">
        <w:t>u</w:t>
      </w:r>
      <w:r w:rsidR="00912774">
        <w:t xml:space="preserve"> Programme Indicatif</w:t>
      </w:r>
      <w:r w:rsidR="00811448">
        <w:t xml:space="preserve"> Régional</w:t>
      </w:r>
      <w:r w:rsidR="00912774">
        <w:t xml:space="preserve"> </w:t>
      </w:r>
      <w:r w:rsidR="00811448">
        <w:t xml:space="preserve">du </w:t>
      </w:r>
      <w:r w:rsidR="00912774">
        <w:t>10</w:t>
      </w:r>
      <w:r w:rsidR="00912774" w:rsidRPr="00D13AA4">
        <w:rPr>
          <w:vertAlign w:val="superscript"/>
        </w:rPr>
        <w:t>ème</w:t>
      </w:r>
      <w:r w:rsidR="00912774">
        <w:t xml:space="preserve"> </w:t>
      </w:r>
      <w:r w:rsidR="00811448">
        <w:t xml:space="preserve">FED et de la préparation de la mise en œuvre du PIR </w:t>
      </w:r>
      <w:r w:rsidR="00912774">
        <w:t>11</w:t>
      </w:r>
      <w:r w:rsidR="00912774" w:rsidRPr="00D13AA4">
        <w:rPr>
          <w:vertAlign w:val="superscript"/>
        </w:rPr>
        <w:t>ème</w:t>
      </w:r>
      <w:r w:rsidR="00912774">
        <w:t xml:space="preserve"> FED.</w:t>
      </w:r>
      <w:r w:rsidR="00066BDB">
        <w:t xml:space="preserve"> </w:t>
      </w:r>
    </w:p>
    <w:p w:rsidR="0039019C" w:rsidRDefault="0039019C" w:rsidP="00D13AA4">
      <w:pPr>
        <w:pStyle w:val="Paragraphedeliste"/>
        <w:spacing w:after="0"/>
        <w:ind w:left="567" w:hanging="578"/>
        <w:jc w:val="both"/>
      </w:pPr>
    </w:p>
    <w:p w:rsidR="00E7151A" w:rsidRDefault="00E7151A" w:rsidP="00D13AA4">
      <w:pPr>
        <w:pStyle w:val="Paragraphedeliste"/>
        <w:numPr>
          <w:ilvl w:val="0"/>
          <w:numId w:val="36"/>
        </w:numPr>
        <w:spacing w:after="0"/>
        <w:ind w:left="567" w:hanging="578"/>
        <w:jc w:val="both"/>
      </w:pPr>
      <w:r>
        <w:t xml:space="preserve">La cérémonie d´ouverture </w:t>
      </w:r>
      <w:r w:rsidR="0039019C">
        <w:t>a</w:t>
      </w:r>
      <w:r w:rsidR="007D2FB6">
        <w:t xml:space="preserve"> été marquée par le discours d´</w:t>
      </w:r>
      <w:r>
        <w:t xml:space="preserve">ouverture du Premier Ministre de la République togolaise, son Excellence M. </w:t>
      </w:r>
      <w:r w:rsidR="0039019C">
        <w:t xml:space="preserve">Komi </w:t>
      </w:r>
      <w:proofErr w:type="spellStart"/>
      <w:r w:rsidR="0039019C">
        <w:t>Sélom</w:t>
      </w:r>
      <w:proofErr w:type="spellEnd"/>
      <w:r w:rsidR="0039019C">
        <w:t xml:space="preserve"> </w:t>
      </w:r>
      <w:proofErr w:type="spellStart"/>
      <w:r w:rsidR="0039019C">
        <w:t>Klassou</w:t>
      </w:r>
      <w:proofErr w:type="spellEnd"/>
      <w:r w:rsidR="0039019C">
        <w:t>, qui a exprimé tout l´espoir qu´il plaçait dans la mise en œuvre de la coopération avec l´Union Européenne.</w:t>
      </w:r>
    </w:p>
    <w:p w:rsidR="003E0FCD" w:rsidRDefault="003E0FCD" w:rsidP="003E0FCD">
      <w:pPr>
        <w:spacing w:after="0"/>
        <w:ind w:left="567" w:hanging="567"/>
        <w:jc w:val="both"/>
      </w:pPr>
    </w:p>
    <w:p w:rsidR="00B97876" w:rsidRDefault="008C0727" w:rsidP="00D13AA4">
      <w:pPr>
        <w:pStyle w:val="Paragraphedeliste"/>
        <w:numPr>
          <w:ilvl w:val="0"/>
          <w:numId w:val="36"/>
        </w:numPr>
        <w:spacing w:after="0"/>
        <w:ind w:left="567" w:hanging="578"/>
        <w:jc w:val="both"/>
      </w:pPr>
      <w:r>
        <w:t xml:space="preserve">La </w:t>
      </w:r>
      <w:r w:rsidR="00CD0213">
        <w:t xml:space="preserve">réunion a été co-présidée par S.E. M. Marcel </w:t>
      </w:r>
      <w:r w:rsidR="0039019C">
        <w:t xml:space="preserve">A. </w:t>
      </w:r>
      <w:r w:rsidR="00CD0213">
        <w:t xml:space="preserve">de </w:t>
      </w:r>
      <w:proofErr w:type="spellStart"/>
      <w:r w:rsidR="00CD0213">
        <w:t>Souza</w:t>
      </w:r>
      <w:proofErr w:type="spellEnd"/>
      <w:r w:rsidR="00CD0213">
        <w:t xml:space="preserve">, Président de la Commission de la CEDEAO et S.E. M. </w:t>
      </w:r>
      <w:proofErr w:type="spellStart"/>
      <w:r w:rsidR="00CD0213">
        <w:t>Cheikhe</w:t>
      </w:r>
      <w:proofErr w:type="spellEnd"/>
      <w:r w:rsidR="00CD0213">
        <w:t xml:space="preserve"> </w:t>
      </w:r>
      <w:proofErr w:type="spellStart"/>
      <w:r w:rsidR="00CD0213">
        <w:t>Hadjibou</w:t>
      </w:r>
      <w:proofErr w:type="spellEnd"/>
      <w:r w:rsidR="00CD0213">
        <w:t xml:space="preserve"> </w:t>
      </w:r>
      <w:proofErr w:type="spellStart"/>
      <w:r w:rsidR="00CD0213">
        <w:t>Soumaré</w:t>
      </w:r>
      <w:proofErr w:type="spellEnd"/>
      <w:r w:rsidR="00CD0213">
        <w:t xml:space="preserve">, Président de la Commission de l’UEMOA, pour l’Afrique de l’Ouest, ainsi que </w:t>
      </w:r>
      <w:r w:rsidR="0039019C">
        <w:t xml:space="preserve">par </w:t>
      </w:r>
      <w:r w:rsidR="00CD0213">
        <w:t xml:space="preserve">Mme Carla </w:t>
      </w:r>
      <w:proofErr w:type="spellStart"/>
      <w:r w:rsidR="00CD0213">
        <w:t>Montesi</w:t>
      </w:r>
      <w:proofErr w:type="spellEnd"/>
      <w:r w:rsidR="00CD0213">
        <w:t xml:space="preserve">, Directrice pour l’Afrique Occidentale et Centrale </w:t>
      </w:r>
      <w:r w:rsidR="00D13AA4">
        <w:t xml:space="preserve">de la Commission Européenne </w:t>
      </w:r>
      <w:r w:rsidR="00CD0213">
        <w:t>et M</w:t>
      </w:r>
      <w:r w:rsidR="00ED7C81">
        <w:t xml:space="preserve">. </w:t>
      </w:r>
      <w:proofErr w:type="spellStart"/>
      <w:r w:rsidR="00011038">
        <w:t>Hans-Peter</w:t>
      </w:r>
      <w:proofErr w:type="spellEnd"/>
      <w:r w:rsidR="00011038">
        <w:t xml:space="preserve"> </w:t>
      </w:r>
      <w:proofErr w:type="spellStart"/>
      <w:r w:rsidR="00011038">
        <w:t>Schadek</w:t>
      </w:r>
      <w:proofErr w:type="spellEnd"/>
      <w:r w:rsidR="00011038">
        <w:t xml:space="preserve"> Directeur </w:t>
      </w:r>
      <w:r w:rsidR="00685EFD">
        <w:t>(</w:t>
      </w:r>
      <w:r w:rsidR="00011038">
        <w:t>f</w:t>
      </w:r>
      <w:r w:rsidR="00685EFD">
        <w:t xml:space="preserve">aisant </w:t>
      </w:r>
      <w:r w:rsidR="00011038">
        <w:t>f</w:t>
      </w:r>
      <w:r w:rsidR="00685EFD">
        <w:t>onction)</w:t>
      </w:r>
      <w:r w:rsidR="00011038">
        <w:t xml:space="preserve"> au</w:t>
      </w:r>
      <w:r w:rsidR="00CD0213">
        <w:t xml:space="preserve"> service Européen pour l’Action Extérieure</w:t>
      </w:r>
      <w:r w:rsidR="00B97876">
        <w:t>.</w:t>
      </w:r>
    </w:p>
    <w:p w:rsidR="003E0FCD" w:rsidRDefault="003E0FCD" w:rsidP="003E0FCD">
      <w:pPr>
        <w:spacing w:after="0"/>
        <w:ind w:left="567" w:hanging="567"/>
        <w:jc w:val="both"/>
      </w:pPr>
    </w:p>
    <w:p w:rsidR="00F95000" w:rsidRDefault="00F7249D" w:rsidP="00D13AA4">
      <w:pPr>
        <w:pStyle w:val="Paragraphedeliste"/>
        <w:numPr>
          <w:ilvl w:val="0"/>
          <w:numId w:val="36"/>
        </w:numPr>
        <w:spacing w:after="0"/>
        <w:ind w:left="567" w:hanging="578"/>
        <w:jc w:val="both"/>
      </w:pPr>
      <w:r>
        <w:t>Dans leurs allocutions, l</w:t>
      </w:r>
      <w:r w:rsidR="003B1326">
        <w:t>es</w:t>
      </w:r>
      <w:r w:rsidR="00BA70C8">
        <w:t xml:space="preserve"> </w:t>
      </w:r>
      <w:r w:rsidR="003B1326">
        <w:t xml:space="preserve">co-présidents </w:t>
      </w:r>
      <w:r w:rsidR="00874D39">
        <w:t xml:space="preserve">ont remercié </w:t>
      </w:r>
      <w:r w:rsidR="0039019C">
        <w:t xml:space="preserve">les autorités de la </w:t>
      </w:r>
      <w:r w:rsidR="00874D39">
        <w:t xml:space="preserve"> République togolaise</w:t>
      </w:r>
      <w:r w:rsidR="00D13AA4">
        <w:t xml:space="preserve"> </w:t>
      </w:r>
      <w:r w:rsidR="00874D39">
        <w:t xml:space="preserve">pour </w:t>
      </w:r>
      <w:r w:rsidR="00F95000">
        <w:t>avoir hébergé la réunion du COS ainsi que la Délégation de l´Union Européenne à Lomé pour l</w:t>
      </w:r>
      <w:r w:rsidR="0039019C">
        <w:t>´appui</w:t>
      </w:r>
      <w:r w:rsidR="00F95000">
        <w:t xml:space="preserve"> logistique permettant la tenue de la réunion. Les co-présidents on</w:t>
      </w:r>
      <w:r w:rsidR="00811448">
        <w:t>t souhaité que des mesures fortes soient prises pour élever la capacité de mise en œuvre à la hauteur des défis et des enjeux en vue de contribuer efficacement au développement de la région</w:t>
      </w:r>
      <w:r w:rsidR="00F95000">
        <w:t xml:space="preserve">. </w:t>
      </w:r>
    </w:p>
    <w:p w:rsidR="00B73225" w:rsidRDefault="00B73225" w:rsidP="00D13AA4">
      <w:pPr>
        <w:pStyle w:val="Paragraphedeliste"/>
        <w:spacing w:after="0"/>
        <w:ind w:left="567"/>
        <w:jc w:val="both"/>
      </w:pPr>
    </w:p>
    <w:p w:rsidR="007424B8" w:rsidRDefault="006B4308" w:rsidP="006B4308">
      <w:pPr>
        <w:spacing w:after="0"/>
        <w:jc w:val="both"/>
      </w:pPr>
      <w:r>
        <w:rPr>
          <w:b/>
        </w:rPr>
        <w:t>M</w:t>
      </w:r>
      <w:r w:rsidR="007424B8" w:rsidRPr="007424B8">
        <w:rPr>
          <w:b/>
        </w:rPr>
        <w:t xml:space="preserve">ise en œuvre </w:t>
      </w:r>
      <w:r w:rsidR="00AB4548">
        <w:rPr>
          <w:b/>
        </w:rPr>
        <w:t xml:space="preserve">des projets </w:t>
      </w:r>
      <w:r w:rsidR="00580B26">
        <w:rPr>
          <w:b/>
        </w:rPr>
        <w:t>du 10</w:t>
      </w:r>
      <w:r w:rsidR="007424B8" w:rsidRPr="00580B26">
        <w:rPr>
          <w:b/>
          <w:vertAlign w:val="superscript"/>
        </w:rPr>
        <w:t>ème</w:t>
      </w:r>
      <w:r w:rsidR="00580B26">
        <w:rPr>
          <w:b/>
        </w:rPr>
        <w:t xml:space="preserve"> </w:t>
      </w:r>
      <w:r w:rsidR="007424B8" w:rsidRPr="007424B8">
        <w:rPr>
          <w:b/>
        </w:rPr>
        <w:t>FED</w:t>
      </w:r>
    </w:p>
    <w:p w:rsidR="00185A45" w:rsidRDefault="00185A45" w:rsidP="003E0FCD">
      <w:pPr>
        <w:spacing w:after="0"/>
        <w:ind w:left="567"/>
        <w:jc w:val="both"/>
      </w:pPr>
    </w:p>
    <w:p w:rsidR="00C12AA5" w:rsidRDefault="00D13AA4" w:rsidP="0066730C">
      <w:pPr>
        <w:spacing w:after="0"/>
        <w:ind w:left="567" w:hanging="567"/>
        <w:jc w:val="both"/>
      </w:pPr>
      <w:r>
        <w:t>5</w:t>
      </w:r>
      <w:r w:rsidR="004B4EE8">
        <w:t>.</w:t>
      </w:r>
      <w:r w:rsidR="004B4EE8">
        <w:tab/>
      </w:r>
      <w:r w:rsidR="00A0171E" w:rsidRPr="00A0171E">
        <w:t xml:space="preserve">Le </w:t>
      </w:r>
      <w:r w:rsidR="008F0200">
        <w:t>C</w:t>
      </w:r>
      <w:r w:rsidR="0039019C">
        <w:t>OS</w:t>
      </w:r>
      <w:r>
        <w:t xml:space="preserve"> </w:t>
      </w:r>
      <w:r w:rsidR="00596369">
        <w:t>s</w:t>
      </w:r>
      <w:r w:rsidR="008F0200">
        <w:t>’es</w:t>
      </w:r>
      <w:r w:rsidR="00596369">
        <w:t xml:space="preserve">t </w:t>
      </w:r>
      <w:r w:rsidR="00314672">
        <w:t>félicité</w:t>
      </w:r>
      <w:r w:rsidR="00596369">
        <w:t xml:space="preserve"> de </w:t>
      </w:r>
      <w:r w:rsidR="00314672">
        <w:t>l’engagement</w:t>
      </w:r>
      <w:r w:rsidR="00596369">
        <w:t xml:space="preserve"> du</w:t>
      </w:r>
      <w:r w:rsidR="00A0171E" w:rsidRPr="00A0171E">
        <w:t xml:space="preserve"> montant total du 10</w:t>
      </w:r>
      <w:r w:rsidR="00A0171E">
        <w:t xml:space="preserve">eme </w:t>
      </w:r>
      <w:r w:rsidR="00A0171E" w:rsidRPr="00A0171E">
        <w:t>FED, soit 595 millions d'Euros</w:t>
      </w:r>
      <w:r w:rsidR="00596369">
        <w:t>. Face au constat que seuls</w:t>
      </w:r>
      <w:r w:rsidR="00A0171E" w:rsidRPr="00A0171E">
        <w:t xml:space="preserve"> 67% de fonds </w:t>
      </w:r>
      <w:r w:rsidR="00596369">
        <w:t xml:space="preserve">sont </w:t>
      </w:r>
      <w:r w:rsidR="00A0171E" w:rsidRPr="00A0171E">
        <w:t>contractés et 40% payé</w:t>
      </w:r>
      <w:r w:rsidR="00596369">
        <w:t>s suite au</w:t>
      </w:r>
      <w:r w:rsidR="00A0171E" w:rsidRPr="00A0171E">
        <w:t xml:space="preserve"> retard important dans la mise en œuvre de certains projets et programmes</w:t>
      </w:r>
      <w:r w:rsidR="00596369">
        <w:t>,</w:t>
      </w:r>
      <w:r w:rsidR="00243BB5">
        <w:t xml:space="preserve"> les parties ont reconnu la nécessité </w:t>
      </w:r>
      <w:r w:rsidR="00243BB5" w:rsidRPr="00243BB5">
        <w:t xml:space="preserve">d’accélérer </w:t>
      </w:r>
      <w:r w:rsidR="00243BB5">
        <w:t>leur exécution</w:t>
      </w:r>
      <w:r w:rsidR="00596369">
        <w:t xml:space="preserve">. </w:t>
      </w:r>
      <w:r w:rsidR="00352528">
        <w:t>Le COS invite les Parties à mettre en œuvre le plus rapidement possible le</w:t>
      </w:r>
      <w:r w:rsidR="00402F48">
        <w:t xml:space="preserve"> </w:t>
      </w:r>
      <w:r w:rsidR="00C12AA5">
        <w:t xml:space="preserve">programme de renforcement des capacités des OR, </w:t>
      </w:r>
      <w:r w:rsidR="00243BB5">
        <w:t xml:space="preserve">tout en veillant à améliorer certaines modalités de mise en </w:t>
      </w:r>
      <w:r w:rsidR="00C12AA5">
        <w:t xml:space="preserve">œuvre </w:t>
      </w:r>
      <w:r w:rsidR="0066730C">
        <w:t xml:space="preserve">en particulier au niveau </w:t>
      </w:r>
      <w:r w:rsidR="00C12AA5" w:rsidRPr="0066730C">
        <w:t>de la gouvernance des programmes régionaux</w:t>
      </w:r>
      <w:r w:rsidR="0066730C">
        <w:t xml:space="preserve">. Des efforts devront également être faits pour améliorer </w:t>
      </w:r>
      <w:r w:rsidR="00C12AA5" w:rsidRPr="0066730C">
        <w:t xml:space="preserve">la </w:t>
      </w:r>
      <w:r w:rsidR="00C12AA5" w:rsidRPr="0066730C">
        <w:lastRenderedPageBreak/>
        <w:t xml:space="preserve">visibilité </w:t>
      </w:r>
      <w:r w:rsidR="0066730C">
        <w:t xml:space="preserve">en matière d’intégration régionale </w:t>
      </w:r>
      <w:r w:rsidR="00C12AA5" w:rsidRPr="0066730C">
        <w:t xml:space="preserve">et </w:t>
      </w:r>
      <w:r w:rsidR="0066730C">
        <w:t xml:space="preserve">la </w:t>
      </w:r>
      <w:r w:rsidR="00C12AA5" w:rsidRPr="0066730C">
        <w:t>gestion de l’information</w:t>
      </w:r>
      <w:r w:rsidR="005D6A04">
        <w:t xml:space="preserve"> relative</w:t>
      </w:r>
      <w:r w:rsidR="0066730C">
        <w:t xml:space="preserve"> aux programmes confiés aux agences d’exécution.</w:t>
      </w:r>
    </w:p>
    <w:p w:rsidR="005E4797" w:rsidRDefault="005E4797" w:rsidP="005E4797">
      <w:pPr>
        <w:spacing w:after="0"/>
        <w:jc w:val="both"/>
      </w:pPr>
    </w:p>
    <w:p w:rsidR="000E5EEB" w:rsidRDefault="000E5EEB" w:rsidP="000E5EEB">
      <w:pPr>
        <w:spacing w:after="0"/>
        <w:jc w:val="both"/>
        <w:rPr>
          <w:b/>
        </w:rPr>
      </w:pPr>
      <w:r>
        <w:rPr>
          <w:b/>
        </w:rPr>
        <w:t>Processus d’identification et de formulation des projets du PIR/11</w:t>
      </w:r>
      <w:r w:rsidRPr="008A1253">
        <w:rPr>
          <w:b/>
          <w:vertAlign w:val="superscript"/>
        </w:rPr>
        <w:t>ème</w:t>
      </w:r>
      <w:r>
        <w:rPr>
          <w:b/>
        </w:rPr>
        <w:t xml:space="preserve"> FED</w:t>
      </w:r>
    </w:p>
    <w:p w:rsidR="00367A65" w:rsidRDefault="00367A65" w:rsidP="003E0FCD">
      <w:pPr>
        <w:spacing w:after="0"/>
        <w:ind w:left="567"/>
        <w:jc w:val="both"/>
        <w:rPr>
          <w:b/>
        </w:rPr>
      </w:pPr>
    </w:p>
    <w:p w:rsidR="007424B8" w:rsidRDefault="006B4308" w:rsidP="006B4308">
      <w:pPr>
        <w:spacing w:after="0"/>
        <w:jc w:val="both"/>
        <w:rPr>
          <w:b/>
        </w:rPr>
      </w:pPr>
      <w:r>
        <w:rPr>
          <w:b/>
        </w:rPr>
        <w:t xml:space="preserve">Paix, sécurité </w:t>
      </w:r>
      <w:r w:rsidR="007C3088">
        <w:rPr>
          <w:b/>
        </w:rPr>
        <w:t>et stabilité</w:t>
      </w:r>
      <w:r w:rsidR="006A5B15">
        <w:rPr>
          <w:b/>
        </w:rPr>
        <w:t xml:space="preserve"> </w:t>
      </w:r>
      <w:r w:rsidR="000E5EEB">
        <w:rPr>
          <w:b/>
        </w:rPr>
        <w:t>régionale</w:t>
      </w:r>
    </w:p>
    <w:p w:rsidR="000E5EEB" w:rsidRDefault="000E5EEB" w:rsidP="006B4308">
      <w:pPr>
        <w:spacing w:after="0"/>
        <w:jc w:val="both"/>
        <w:rPr>
          <w:b/>
        </w:rPr>
      </w:pPr>
    </w:p>
    <w:p w:rsidR="002D156E" w:rsidRPr="000E5EEB" w:rsidRDefault="00D13AA4" w:rsidP="008F0200">
      <w:pPr>
        <w:spacing w:after="0"/>
        <w:ind w:left="567" w:hanging="567"/>
        <w:jc w:val="both"/>
        <w:rPr>
          <w:b/>
        </w:rPr>
      </w:pPr>
      <w:r>
        <w:t>6</w:t>
      </w:r>
      <w:r w:rsidR="00FF3FE4">
        <w:t>.</w:t>
      </w:r>
      <w:r w:rsidR="00FF3FE4">
        <w:tab/>
      </w:r>
      <w:r w:rsidR="000E5EEB" w:rsidRPr="005E4797">
        <w:t xml:space="preserve">Le Comité d’Orientation Stratégique </w:t>
      </w:r>
      <w:r w:rsidR="002D156E" w:rsidRPr="005E4797">
        <w:t xml:space="preserve">a  déploré la multiplication des </w:t>
      </w:r>
      <w:r w:rsidR="0039019C">
        <w:t>actes terroristes</w:t>
      </w:r>
      <w:r w:rsidR="002D156E" w:rsidRPr="005E4797">
        <w:t xml:space="preserve"> dans la région, notamment au Burkina Faso, en Côte d’Ivoire, au Mali, au Niger et au Nigeria, et </w:t>
      </w:r>
      <w:r w:rsidR="0039019C">
        <w:t>a</w:t>
      </w:r>
      <w:r w:rsidR="0039019C" w:rsidRPr="005E4797">
        <w:t xml:space="preserve"> </w:t>
      </w:r>
      <w:r w:rsidR="002D156E" w:rsidRPr="005E4797">
        <w:t xml:space="preserve">exprimé </w:t>
      </w:r>
      <w:r w:rsidR="0039019C">
        <w:t>sa</w:t>
      </w:r>
      <w:r w:rsidR="0039019C" w:rsidRPr="005E4797">
        <w:t xml:space="preserve"> </w:t>
      </w:r>
      <w:r w:rsidR="002D156E" w:rsidRPr="005E4797">
        <w:t xml:space="preserve">solidarité avec les pays touchés. </w:t>
      </w:r>
      <w:r w:rsidR="0039019C">
        <w:t xml:space="preserve">Il s´est félicité </w:t>
      </w:r>
      <w:r w:rsidR="002D156E" w:rsidRPr="005E4797">
        <w:t xml:space="preserve">des efforts accomplis par les Chefs d’Etat et de Gouvernement pour stabiliser davantage la région et  </w:t>
      </w:r>
      <w:r w:rsidR="0039019C">
        <w:t>a</w:t>
      </w:r>
      <w:r w:rsidR="0039019C" w:rsidRPr="005E4797">
        <w:t xml:space="preserve"> </w:t>
      </w:r>
      <w:r w:rsidR="002D156E" w:rsidRPr="005E4797">
        <w:t xml:space="preserve">réaffirmé </w:t>
      </w:r>
      <w:r w:rsidR="0039019C">
        <w:t>son</w:t>
      </w:r>
      <w:r w:rsidR="002D156E" w:rsidRPr="005E4797">
        <w:t xml:space="preserve"> engagement à lutter par les moyens appropriés, contre ce fléau qui menace la paix et la sécurité régionale et internationale</w:t>
      </w:r>
      <w:r w:rsidR="008F0200">
        <w:t>.</w:t>
      </w:r>
    </w:p>
    <w:p w:rsidR="002D156E" w:rsidRPr="000E5EEB" w:rsidRDefault="002D156E" w:rsidP="002D156E">
      <w:pPr>
        <w:spacing w:after="0"/>
        <w:jc w:val="both"/>
        <w:rPr>
          <w:b/>
        </w:rPr>
      </w:pPr>
    </w:p>
    <w:p w:rsidR="002D156E" w:rsidRPr="005E4797" w:rsidRDefault="00D13AA4" w:rsidP="005E4797">
      <w:pPr>
        <w:spacing w:after="0"/>
        <w:ind w:left="567" w:hanging="567"/>
        <w:jc w:val="both"/>
      </w:pPr>
      <w:r>
        <w:t>7</w:t>
      </w:r>
      <w:r w:rsidR="002D156E" w:rsidRPr="005E4797">
        <w:t>.</w:t>
      </w:r>
      <w:r w:rsidR="002D156E" w:rsidRPr="005E4797">
        <w:tab/>
        <w:t>Le COS a salué les progrès accomplis dans les processus d’identification et de formulation de certains  projets et approuvé le démarrage de l’exécution du Projet «Système d’informations policières de l’Afrique de l’Ouest » (SIPAO)</w:t>
      </w:r>
      <w:r w:rsidR="00003E54">
        <w:t xml:space="preserve"> </w:t>
      </w:r>
      <w:r w:rsidR="002D156E" w:rsidRPr="005E4797">
        <w:t xml:space="preserve">et le projet « Soutien à la lutte contre la  pêche illicite, sa surveillance et sa coordination en Afrique de l’Ouest ».  </w:t>
      </w:r>
      <w:r w:rsidR="0039019C">
        <w:t>Il a recommandé le financement de la composante biométrique (empreintes digitales) sur le fonds fiduciaire Sahel et a</w:t>
      </w:r>
      <w:r w:rsidR="002D156E" w:rsidRPr="005E4797">
        <w:t xml:space="preserve"> instruit les services techniques de l’UE, de la CEDEAO et de l’UEMOA à veiller à ce que l’échange d’information criminelle entre les services de sécurité de la région, tel que prévu dans le projet SIPAO, soit effectif le plus rapidement possible eu égard aux défis sécuritaires actuels de la région.  Le COS a échangé et accordé la validation de ces programmes. </w:t>
      </w:r>
    </w:p>
    <w:p w:rsidR="000F2F02" w:rsidRDefault="000F2F02" w:rsidP="000F2F02">
      <w:pPr>
        <w:spacing w:after="0"/>
        <w:ind w:left="916"/>
        <w:jc w:val="both"/>
      </w:pPr>
    </w:p>
    <w:p w:rsidR="002D156E" w:rsidRPr="005E4797" w:rsidRDefault="00D13AA4" w:rsidP="005E4797">
      <w:pPr>
        <w:spacing w:after="0"/>
        <w:ind w:left="567" w:hanging="567"/>
        <w:jc w:val="both"/>
      </w:pPr>
      <w:r>
        <w:t>8</w:t>
      </w:r>
      <w:r w:rsidR="002D156E" w:rsidRPr="005E4797">
        <w:t>.</w:t>
      </w:r>
      <w:r w:rsidR="002D156E" w:rsidRPr="005E4797">
        <w:tab/>
        <w:t xml:space="preserve">Le COS a en outre donné mandat aux services techniques de l’UE et des </w:t>
      </w:r>
      <w:r w:rsidR="0039019C" w:rsidRPr="005E4797">
        <w:t>O</w:t>
      </w:r>
      <w:r w:rsidR="0039019C">
        <w:t xml:space="preserve">rdonnateurs </w:t>
      </w:r>
      <w:r w:rsidR="002D156E" w:rsidRPr="005E4797">
        <w:t>R</w:t>
      </w:r>
      <w:r w:rsidR="0039019C">
        <w:t>égionaux</w:t>
      </w:r>
      <w:r w:rsidR="002D156E" w:rsidRPr="005E4797">
        <w:t xml:space="preserve"> de lancer le processus de formulation du projet « Appui à la Stratégie Maritime Intégrée de la CEDEAO » et d’accélérer l’identification des projets « Lutte contre le blanchiment d’argent et le financement du terrorisme », « Lutte intégrée contre les trafics des êtres humains, de drogue et d’armes légères », « Libre circulation, gestion sécurisée des frontières et développement des zones frontalières », « Appui à la CEDEAO dans la mise en œuvre de l’architecture africaine de paix et de sécurité » et le « programme d’alerte sur les épidémies » dans l´objectif d´ avancer dans la formulation pour  engager les fonds et commencer</w:t>
      </w:r>
      <w:r w:rsidR="005E3872" w:rsidRPr="005E4797">
        <w:t xml:space="preserve"> l´exécution de</w:t>
      </w:r>
      <w:r w:rsidR="002D156E" w:rsidRPr="005E4797">
        <w:t xml:space="preserve"> ces programmes importants en 2017</w:t>
      </w:r>
      <w:r w:rsidR="00003E54">
        <w:t>.</w:t>
      </w:r>
    </w:p>
    <w:p w:rsidR="005E3872" w:rsidRPr="000E5EEB" w:rsidRDefault="005E3872" w:rsidP="005E4797">
      <w:pPr>
        <w:spacing w:after="0"/>
        <w:ind w:left="567" w:hanging="567"/>
        <w:jc w:val="both"/>
        <w:rPr>
          <w:b/>
        </w:rPr>
      </w:pPr>
    </w:p>
    <w:p w:rsidR="005E3872" w:rsidRPr="005E4797" w:rsidRDefault="00D13AA4" w:rsidP="005E4797">
      <w:pPr>
        <w:spacing w:after="0"/>
        <w:ind w:left="567" w:hanging="567"/>
        <w:jc w:val="both"/>
      </w:pPr>
      <w:r>
        <w:t>9</w:t>
      </w:r>
      <w:r w:rsidR="005E3872" w:rsidRPr="005E4797">
        <w:t>.</w:t>
      </w:r>
      <w:r w:rsidR="005E3872" w:rsidRPr="005E4797">
        <w:tab/>
        <w:t>Le COS a enfin demandé aux services techniques de l'UE, des Commissions de la CEDEAO et de l’UEMOA de déterminer les allocations financières aux projets de manière à prendre  en compte l’ensemble des priorités du PIR dans le secteur ; d'établir un calendrier de finalisation des fiches d’actions pour l’ensemble des projets et obtenir l’appui technique pour l’élaboration des fiches d’action.</w:t>
      </w:r>
    </w:p>
    <w:p w:rsidR="00B060AD" w:rsidRDefault="002F2693" w:rsidP="003E0FCD">
      <w:pPr>
        <w:tabs>
          <w:tab w:val="left" w:pos="567"/>
        </w:tabs>
        <w:spacing w:after="0"/>
        <w:ind w:left="567" w:hanging="567"/>
        <w:jc w:val="both"/>
      </w:pPr>
      <w:r w:rsidRPr="002F2693">
        <w:t xml:space="preserve"> </w:t>
      </w:r>
      <w:r w:rsidR="00B060AD">
        <w:tab/>
      </w:r>
    </w:p>
    <w:p w:rsidR="002F2693" w:rsidRPr="00D97807" w:rsidRDefault="00D97807" w:rsidP="00D97807">
      <w:pPr>
        <w:spacing w:after="0"/>
        <w:jc w:val="both"/>
        <w:rPr>
          <w:b/>
        </w:rPr>
      </w:pPr>
      <w:r w:rsidRPr="00D97807">
        <w:rPr>
          <w:b/>
        </w:rPr>
        <w:t>I</w:t>
      </w:r>
      <w:r w:rsidR="00B060AD" w:rsidRPr="00D97807">
        <w:rPr>
          <w:b/>
        </w:rPr>
        <w:t>ntégration économique régionale et</w:t>
      </w:r>
      <w:r w:rsidR="007509C7">
        <w:rPr>
          <w:b/>
        </w:rPr>
        <w:t xml:space="preserve"> </w:t>
      </w:r>
      <w:r w:rsidR="00B060AD" w:rsidRPr="00D97807">
        <w:rPr>
          <w:b/>
        </w:rPr>
        <w:t>aide au commerce</w:t>
      </w:r>
      <w:r>
        <w:rPr>
          <w:b/>
        </w:rPr>
        <w:t xml:space="preserve"> </w:t>
      </w:r>
    </w:p>
    <w:p w:rsidR="000B4693" w:rsidRDefault="000B4693" w:rsidP="003E0FCD">
      <w:pPr>
        <w:spacing w:after="0"/>
        <w:ind w:left="567"/>
        <w:jc w:val="both"/>
      </w:pPr>
    </w:p>
    <w:p w:rsidR="00B134A2" w:rsidRDefault="00D13AA4" w:rsidP="00B134A2">
      <w:pPr>
        <w:spacing w:after="0"/>
        <w:ind w:left="567" w:hanging="567"/>
        <w:jc w:val="both"/>
      </w:pPr>
      <w:r>
        <w:t>10</w:t>
      </w:r>
      <w:r w:rsidR="00E10AF8">
        <w:t>.</w:t>
      </w:r>
      <w:r w:rsidR="00E10AF8">
        <w:tab/>
      </w:r>
      <w:r w:rsidR="00B134A2" w:rsidRPr="00E10AF8">
        <w:t xml:space="preserve">Tout en s’accordant sur les orientations proposées à l’issue de la phase d’identification </w:t>
      </w:r>
      <w:r w:rsidR="00B134A2">
        <w:t xml:space="preserve">et sur le lancement de la phase de formulation </w:t>
      </w:r>
      <w:r w:rsidR="00B134A2" w:rsidRPr="00E10AF8">
        <w:t xml:space="preserve">des projets de Renforcement de la compétitivité, d’appui à la transition fiscale et d’appui à l’APE, les parties ont convenu </w:t>
      </w:r>
      <w:r w:rsidR="00B134A2">
        <w:t xml:space="preserve">(i) pour </w:t>
      </w:r>
      <w:r w:rsidR="00B134A2" w:rsidRPr="00E10AF8">
        <w:t xml:space="preserve">le programme </w:t>
      </w:r>
      <w:r w:rsidR="00B134A2" w:rsidRPr="00E10AF8">
        <w:lastRenderedPageBreak/>
        <w:t xml:space="preserve">compétitivité, </w:t>
      </w:r>
      <w:r w:rsidR="00B134A2">
        <w:t>d’</w:t>
      </w:r>
      <w:r w:rsidR="00B134A2" w:rsidRPr="00E10AF8">
        <w:t xml:space="preserve">augmenter les ressources allouées au niveau régional en vue notamment </w:t>
      </w:r>
      <w:r w:rsidR="00C506BE">
        <w:t xml:space="preserve">de </w:t>
      </w:r>
      <w:r w:rsidR="00B134A2">
        <w:t>soutenir</w:t>
      </w:r>
      <w:r w:rsidR="00B134A2" w:rsidRPr="00E10AF8">
        <w:t xml:space="preserve"> la mise en œuvre de la politique régionale de la qualité de la CEDEAO et en complémentarité avec les activités prévues à l’échelon national dans ce domaine. Assurer l</w:t>
      </w:r>
      <w:r w:rsidR="00B134A2">
        <w:t>e lancement</w:t>
      </w:r>
      <w:r w:rsidR="00B134A2" w:rsidRPr="005E4797">
        <w:t xml:space="preserve"> effectif </w:t>
      </w:r>
      <w:r w:rsidR="00B134A2" w:rsidRPr="00E10AF8">
        <w:t>de la deuxième phase d</w:t>
      </w:r>
      <w:r w:rsidR="00B134A2">
        <w:t>e ce</w:t>
      </w:r>
      <w:r w:rsidR="00B134A2" w:rsidRPr="00E10AF8">
        <w:t xml:space="preserve"> programme</w:t>
      </w:r>
      <w:r w:rsidR="00B134A2">
        <w:t>, (</w:t>
      </w:r>
      <w:r w:rsidR="0039019C">
        <w:t>ii</w:t>
      </w:r>
      <w:r w:rsidR="00B134A2">
        <w:t xml:space="preserve">) pour le </w:t>
      </w:r>
      <w:r w:rsidR="00B134A2" w:rsidRPr="00E10AF8">
        <w:t xml:space="preserve">projet d’appui à la transition fiscale, </w:t>
      </w:r>
      <w:r w:rsidR="00B134A2">
        <w:t>d’</w:t>
      </w:r>
      <w:r w:rsidR="00B134A2" w:rsidRPr="00E10AF8">
        <w:t>explorer lors de la phase de formulation la possibilité d'intégrer dans le résultat relatif à l’élargissement de l’assiette fiscale, certaines autres activités pouvant faciliter l’atteinte de ce résultat</w:t>
      </w:r>
      <w:r w:rsidR="00B134A2">
        <w:t>. Il est prévu d’engager ces projets au premier semestre 2017.</w:t>
      </w:r>
    </w:p>
    <w:p w:rsidR="00B134A2" w:rsidRDefault="00B134A2" w:rsidP="00B134A2">
      <w:pPr>
        <w:spacing w:after="0"/>
        <w:ind w:left="851" w:hanging="851"/>
        <w:jc w:val="both"/>
      </w:pPr>
    </w:p>
    <w:p w:rsidR="00B134A2" w:rsidRDefault="00D13AA4" w:rsidP="00B134A2">
      <w:pPr>
        <w:spacing w:after="0"/>
        <w:ind w:left="567" w:hanging="567"/>
        <w:jc w:val="both"/>
      </w:pPr>
      <w:r>
        <w:t>11</w:t>
      </w:r>
      <w:r w:rsidR="00B134A2">
        <w:t>.</w:t>
      </w:r>
      <w:r w:rsidR="00B134A2">
        <w:tab/>
      </w:r>
      <w:r w:rsidR="00C506BE">
        <w:t>Le COS a</w:t>
      </w:r>
      <w:r w:rsidR="00B134A2" w:rsidRPr="00384F72">
        <w:t xml:space="preserve"> convenu de démarrer les études d’identification et de formulation du projet d’intégration économique et du Projet sur la libre circulation et le droit d’établissement</w:t>
      </w:r>
      <w:r w:rsidR="00B134A2">
        <w:t xml:space="preserve"> en lien avec le secteur 1 du PIR, pour un engagement  en 2017.</w:t>
      </w:r>
    </w:p>
    <w:p w:rsidR="00B134A2" w:rsidRDefault="00B134A2" w:rsidP="00B134A2">
      <w:pPr>
        <w:spacing w:after="0"/>
        <w:ind w:left="916"/>
        <w:jc w:val="both"/>
      </w:pPr>
    </w:p>
    <w:p w:rsidR="00B134A2" w:rsidRDefault="00D13AA4" w:rsidP="00B134A2">
      <w:pPr>
        <w:spacing w:after="0"/>
        <w:ind w:left="567" w:hanging="567"/>
        <w:jc w:val="both"/>
      </w:pPr>
      <w:r>
        <w:t>12</w:t>
      </w:r>
      <w:r w:rsidR="00B134A2">
        <w:t>.</w:t>
      </w:r>
      <w:r w:rsidR="00B134A2">
        <w:tab/>
      </w:r>
      <w:r w:rsidR="00C506BE">
        <w:t xml:space="preserve">Le COS </w:t>
      </w:r>
      <w:r w:rsidR="00B134A2" w:rsidRPr="00384F72">
        <w:t xml:space="preserve"> </w:t>
      </w:r>
      <w:r w:rsidR="00C506BE">
        <w:t>a agréé de</w:t>
      </w:r>
      <w:r w:rsidR="00B134A2" w:rsidRPr="00384F72">
        <w:t xml:space="preserve"> confier à AFRITAC l’exécution du Projet d’intégration économique (finances publiques, </w:t>
      </w:r>
      <w:r w:rsidR="00B134A2">
        <w:t>politiques macroéconomiques, secteur financier, statistiques etc.</w:t>
      </w:r>
      <w:r w:rsidR="00B134A2" w:rsidRPr="00384F72">
        <w:t>) tout en insistant sur une meilleure prise en compte des besoins des Organisations régionales</w:t>
      </w:r>
      <w:r w:rsidR="00B134A2">
        <w:t xml:space="preserve"> et</w:t>
      </w:r>
      <w:r w:rsidR="00B134A2" w:rsidRPr="00384F72">
        <w:t xml:space="preserve"> leur implication dans le comité d'orientation</w:t>
      </w:r>
      <w:r w:rsidR="00B134A2">
        <w:t>.</w:t>
      </w:r>
    </w:p>
    <w:p w:rsidR="00D10196" w:rsidRDefault="00D10196" w:rsidP="00B134A2">
      <w:pPr>
        <w:spacing w:after="0"/>
        <w:ind w:left="567" w:hanging="567"/>
        <w:jc w:val="both"/>
      </w:pPr>
    </w:p>
    <w:p w:rsidR="00D10196" w:rsidRDefault="00D10196" w:rsidP="00263921">
      <w:pPr>
        <w:spacing w:after="0"/>
        <w:ind w:left="567" w:hanging="567"/>
        <w:jc w:val="both"/>
      </w:pPr>
      <w:r>
        <w:t>1</w:t>
      </w:r>
      <w:r w:rsidR="00D13AA4">
        <w:t>3</w:t>
      </w:r>
      <w:r>
        <w:t>.</w:t>
      </w:r>
      <w:r>
        <w:tab/>
      </w:r>
      <w:r w:rsidR="000F370E" w:rsidRPr="000F370E">
        <w:t>Pour le Projet d’appui à la Gouvernance dans le domaine des transports,  les ressources prévues sont de 3</w:t>
      </w:r>
      <w:r w:rsidR="00C506BE">
        <w:t>5</w:t>
      </w:r>
      <w:r w:rsidR="000F370E" w:rsidRPr="000F370E">
        <w:t xml:space="preserve"> à  40 millions d’euros. L’étude d’identification en cours devrait prendre en compte les résultats attendus du PIR 10ème FED et être mieux centrée sur les deux problématiques  actuels du transport en Afrique de l’Ouest pour le développemen</w:t>
      </w:r>
      <w:r w:rsidR="009A5667">
        <w:t>t des corridors régionaux : 1</w:t>
      </w:r>
      <w:r w:rsidR="000F370E" w:rsidRPr="000F370E">
        <w:t>) la pérennité de</w:t>
      </w:r>
      <w:r w:rsidR="009A5667">
        <w:t>s investissements routiers et 2</w:t>
      </w:r>
      <w:r w:rsidR="000F370E" w:rsidRPr="000F370E">
        <w:t xml:space="preserve">) la  facilitation du transport et du transit routiers afin d'en réduire les coûts. </w:t>
      </w:r>
      <w:r w:rsidR="00CC2885">
        <w:t>Le</w:t>
      </w:r>
      <w:r w:rsidR="00097CEA">
        <w:t xml:space="preserve"> COS</w:t>
      </w:r>
      <w:r w:rsidR="00CC2885">
        <w:t xml:space="preserve"> </w:t>
      </w:r>
      <w:r w:rsidR="00C506BE">
        <w:t>a convenu de</w:t>
      </w:r>
      <w:r w:rsidR="00CC2885">
        <w:t xml:space="preserve"> (i) </w:t>
      </w:r>
      <w:r w:rsidR="000F370E" w:rsidRPr="000F370E">
        <w:t>poursuivre l’identification et la formulation du projet dans les délais en vue de son engagement en 2017</w:t>
      </w:r>
      <w:r w:rsidR="00CC2885">
        <w:t xml:space="preserve">, (ii) </w:t>
      </w:r>
      <w:r w:rsidR="000F370E" w:rsidRPr="000F370E">
        <w:t xml:space="preserve">assurer l’implication active des </w:t>
      </w:r>
      <w:r w:rsidR="004F7E60" w:rsidRPr="000F370E">
        <w:t>O</w:t>
      </w:r>
      <w:r w:rsidR="004F7E60">
        <w:t xml:space="preserve">rdonnateurs </w:t>
      </w:r>
      <w:r w:rsidR="000F370E" w:rsidRPr="000F370E">
        <w:t>R</w:t>
      </w:r>
      <w:r w:rsidR="004F7E60">
        <w:t>égionaux</w:t>
      </w:r>
      <w:r w:rsidR="000F370E" w:rsidRPr="000F370E">
        <w:t xml:space="preserve"> dans l’identification et la formulation du projet</w:t>
      </w:r>
      <w:r w:rsidR="00CC2885">
        <w:t xml:space="preserve">, (iii) </w:t>
      </w:r>
      <w:r w:rsidR="000F370E" w:rsidRPr="000F370E">
        <w:t xml:space="preserve">assurer la complémentarité entre les volets nationaux, le </w:t>
      </w:r>
      <w:r w:rsidR="00E7151A">
        <w:t>« </w:t>
      </w:r>
      <w:r w:rsidR="000F370E" w:rsidRPr="000F370E">
        <w:t>blending</w:t>
      </w:r>
      <w:r w:rsidR="00E7151A">
        <w:t> »</w:t>
      </w:r>
      <w:r w:rsidR="000F370E" w:rsidRPr="000F370E">
        <w:t xml:space="preserve"> et la gouvernance du PIR 11ème FED</w:t>
      </w:r>
      <w:r w:rsidR="00C506BE">
        <w:t>, (iv)</w:t>
      </w:r>
      <w:r w:rsidR="009A5667">
        <w:t xml:space="preserve"> appuyer les États dans l´application de reformes en matière de transports notamment celles relatives à la lutte contre la surcharge routière (v)</w:t>
      </w:r>
      <w:r w:rsidR="00C506BE">
        <w:t xml:space="preserve"> renforcer la capacité régionale dans la préparation de projets et des allocations pour la facilité d´étude.</w:t>
      </w:r>
    </w:p>
    <w:p w:rsidR="00393103" w:rsidRDefault="00393103" w:rsidP="003E0FCD">
      <w:pPr>
        <w:spacing w:after="0"/>
        <w:ind w:left="567"/>
      </w:pPr>
    </w:p>
    <w:p w:rsidR="00327916" w:rsidRDefault="00D13AA4" w:rsidP="00D9733A">
      <w:pPr>
        <w:spacing w:after="0"/>
        <w:ind w:left="567" w:hanging="567"/>
        <w:jc w:val="both"/>
      </w:pPr>
      <w:r>
        <w:t>14</w:t>
      </w:r>
      <w:r w:rsidR="001F7F0E">
        <w:t>.</w:t>
      </w:r>
      <w:r w:rsidR="001F7F0E">
        <w:tab/>
      </w:r>
      <w:r w:rsidR="00CE24FB">
        <w:t>Pour améliorer</w:t>
      </w:r>
      <w:r w:rsidR="00D9733A" w:rsidRPr="00D9733A">
        <w:t xml:space="preserve"> la Gouvernance du Secteur de l’Energie, </w:t>
      </w:r>
      <w:r w:rsidR="00D9733A">
        <w:t>le</w:t>
      </w:r>
      <w:r w:rsidR="00097CEA">
        <w:t xml:space="preserve"> COS</w:t>
      </w:r>
      <w:r w:rsidR="00D9733A">
        <w:t xml:space="preserve"> s</w:t>
      </w:r>
      <w:r w:rsidR="00097CEA">
        <w:t>’est</w:t>
      </w:r>
      <w:r w:rsidR="00D9733A">
        <w:t xml:space="preserve"> accordé pour poursuivre les efforts de mise en œuvre des projets relatifs à</w:t>
      </w:r>
      <w:r w:rsidR="00D9733A" w:rsidRPr="00D9733A">
        <w:t xml:space="preserve"> l’amélioration des cadres régionaux politiques, stratégiques et de planification, </w:t>
      </w:r>
      <w:r w:rsidR="00D9733A">
        <w:t xml:space="preserve">à </w:t>
      </w:r>
      <w:r w:rsidR="00D9733A" w:rsidRPr="00D9733A">
        <w:t xml:space="preserve">l’harmonisation des cadres nationaux institutionnels, législatifs et réglementaires, </w:t>
      </w:r>
      <w:r w:rsidR="00D9733A">
        <w:t>au</w:t>
      </w:r>
      <w:r w:rsidR="00D9733A" w:rsidRPr="00D9733A">
        <w:t xml:space="preserve"> développement du marché régional de l’électricité et </w:t>
      </w:r>
      <w:r w:rsidR="00D9733A">
        <w:t>au</w:t>
      </w:r>
      <w:r w:rsidR="00D9733A" w:rsidRPr="00D9733A">
        <w:t xml:space="preserve"> renforcement des capacités des acteurs. Ces projets seront mis en œuvre avec les Commissions de la CEDEAO et de l’UEMOA et les agences spécialisées comme le WAPP, ERERA, ECREEE et les parties nationales</w:t>
      </w:r>
      <w:r w:rsidR="00327916">
        <w:t xml:space="preserve">. </w:t>
      </w:r>
    </w:p>
    <w:p w:rsidR="00327916" w:rsidRDefault="00327916" w:rsidP="00327916">
      <w:pPr>
        <w:spacing w:after="0"/>
        <w:jc w:val="both"/>
      </w:pPr>
    </w:p>
    <w:p w:rsidR="00997413" w:rsidRDefault="00D13AA4" w:rsidP="0087665A">
      <w:pPr>
        <w:spacing w:after="0"/>
        <w:ind w:left="567" w:hanging="567"/>
        <w:jc w:val="both"/>
      </w:pPr>
      <w:r>
        <w:t>15</w:t>
      </w:r>
      <w:r w:rsidR="004248D5">
        <w:t>.</w:t>
      </w:r>
      <w:r w:rsidR="004248D5">
        <w:tab/>
      </w:r>
      <w:r w:rsidR="00CE24FB">
        <w:t>S´agissant du</w:t>
      </w:r>
      <w:r w:rsidR="0087665A" w:rsidRPr="0087665A">
        <w:t xml:space="preserve"> </w:t>
      </w:r>
      <w:r w:rsidR="00C506BE">
        <w:t>b</w:t>
      </w:r>
      <w:r w:rsidR="0087665A" w:rsidRPr="0087665A">
        <w:t>lending (transport et énergie)</w:t>
      </w:r>
      <w:r w:rsidR="00997413">
        <w:t xml:space="preserve"> le</w:t>
      </w:r>
      <w:r w:rsidR="00097CEA">
        <w:t xml:space="preserve"> COS</w:t>
      </w:r>
      <w:r w:rsidR="0087665A" w:rsidRPr="0087665A">
        <w:t xml:space="preserve"> </w:t>
      </w:r>
      <w:r w:rsidR="00097CEA">
        <w:t>a</w:t>
      </w:r>
      <w:r w:rsidR="00097CEA" w:rsidRPr="0087665A">
        <w:t xml:space="preserve"> </w:t>
      </w:r>
      <w:r w:rsidR="0087665A" w:rsidRPr="0087665A">
        <w:t xml:space="preserve">noté que la première dotation de l’AFIF de 100 millions d’euros, a été engagée à hauteur de 96 millions Euros pour 4 projets de transport. Les requêtes de financement de ces projets </w:t>
      </w:r>
      <w:r w:rsidR="00097CEA">
        <w:t>proviennent</w:t>
      </w:r>
      <w:r w:rsidR="0087665A" w:rsidRPr="0087665A">
        <w:t xml:space="preserve"> des Institutions financières, sur la base de la liste indicative arrêtée lors du COS de juillet 2015. </w:t>
      </w:r>
      <w:r w:rsidR="00997413">
        <w:t>Le</w:t>
      </w:r>
      <w:r w:rsidR="00097CEA">
        <w:t xml:space="preserve"> COS</w:t>
      </w:r>
      <w:r w:rsidR="00997413">
        <w:t xml:space="preserve"> s</w:t>
      </w:r>
      <w:r w:rsidR="00097CEA">
        <w:t>’est</w:t>
      </w:r>
      <w:r w:rsidR="00997413">
        <w:t xml:space="preserve"> accordé pour autoriser</w:t>
      </w:r>
      <w:r w:rsidR="0087665A" w:rsidRPr="0087665A">
        <w:t xml:space="preserve"> une nouvelle contribution du </w:t>
      </w:r>
      <w:r w:rsidR="00685EFD">
        <w:t>PIR 11ème FED à l’AFIF de 230 millions Euros</w:t>
      </w:r>
      <w:r w:rsidR="0087665A" w:rsidRPr="0087665A">
        <w:t xml:space="preserve"> pour engager de nouveaux projets de transport et d’én</w:t>
      </w:r>
      <w:r w:rsidR="00685EFD">
        <w:t>ergie dont 3 projets pour 110 millions Euros</w:t>
      </w:r>
      <w:r w:rsidR="0087665A" w:rsidRPr="0087665A">
        <w:t xml:space="preserve"> </w:t>
      </w:r>
      <w:r w:rsidR="00C506BE">
        <w:lastRenderedPageBreak/>
        <w:t xml:space="preserve">qui seront présentés au comité technique de l´AFIF en juillet 2016. </w:t>
      </w:r>
      <w:r w:rsidR="00C37B5E">
        <w:t xml:space="preserve">Le COS autorise l´ajout à la liste indicative des projets les études techniques des principaux corridors notamment les corridors Abidjan-Lagos et Dakar-Abidjan.  </w:t>
      </w:r>
    </w:p>
    <w:p w:rsidR="00D13AA4" w:rsidRDefault="00D13AA4" w:rsidP="0087665A">
      <w:pPr>
        <w:spacing w:after="0"/>
        <w:ind w:left="567" w:hanging="567"/>
        <w:jc w:val="both"/>
      </w:pPr>
    </w:p>
    <w:p w:rsidR="008D4DAA" w:rsidRDefault="00D13AA4" w:rsidP="00997413">
      <w:pPr>
        <w:spacing w:after="0"/>
        <w:ind w:left="567" w:hanging="567"/>
        <w:jc w:val="both"/>
      </w:pPr>
      <w:r>
        <w:t>16</w:t>
      </w:r>
      <w:r w:rsidR="00997413">
        <w:t>.</w:t>
      </w:r>
      <w:r w:rsidR="00997413">
        <w:tab/>
        <w:t>Le</w:t>
      </w:r>
      <w:r w:rsidR="00CF205B">
        <w:t xml:space="preserve"> COS</w:t>
      </w:r>
      <w:r w:rsidR="00997413">
        <w:t xml:space="preserve"> </w:t>
      </w:r>
      <w:r w:rsidR="00CF205B">
        <w:t>a</w:t>
      </w:r>
      <w:r w:rsidR="00CF205B" w:rsidRPr="0087665A">
        <w:t xml:space="preserve"> </w:t>
      </w:r>
      <w:r w:rsidR="00C37B5E">
        <w:t>noté</w:t>
      </w:r>
      <w:r w:rsidR="00C37B5E" w:rsidRPr="0087665A">
        <w:t xml:space="preserve"> </w:t>
      </w:r>
      <w:r w:rsidR="0087665A" w:rsidRPr="0087665A">
        <w:t>la faible implication des O</w:t>
      </w:r>
      <w:r w:rsidR="00997413">
        <w:t xml:space="preserve">rganisations </w:t>
      </w:r>
      <w:r w:rsidR="0087665A" w:rsidRPr="0087665A">
        <w:t>R</w:t>
      </w:r>
      <w:r w:rsidR="00997413">
        <w:t xml:space="preserve">égionales </w:t>
      </w:r>
      <w:r w:rsidR="0087665A" w:rsidRPr="0087665A">
        <w:t xml:space="preserve">dans </w:t>
      </w:r>
      <w:r w:rsidR="00C37B5E">
        <w:t>la</w:t>
      </w:r>
      <w:r w:rsidR="004F6466">
        <w:t xml:space="preserve"> formulation</w:t>
      </w:r>
      <w:r w:rsidR="004F6466" w:rsidRPr="0087665A">
        <w:t xml:space="preserve"> </w:t>
      </w:r>
      <w:r w:rsidR="0087665A" w:rsidRPr="0087665A">
        <w:t xml:space="preserve">des projets présentés par les institutions financières. </w:t>
      </w:r>
      <w:r w:rsidR="00997413">
        <w:t xml:space="preserve">En conséquence, </w:t>
      </w:r>
      <w:r w:rsidR="009A5667">
        <w:t>il</w:t>
      </w:r>
      <w:r w:rsidR="009D478C">
        <w:t xml:space="preserve"> recommande un</w:t>
      </w:r>
      <w:r w:rsidR="0095359D">
        <w:t>e</w:t>
      </w:r>
      <w:r w:rsidR="009D478C">
        <w:t xml:space="preserve"> </w:t>
      </w:r>
      <w:r w:rsidR="0087665A" w:rsidRPr="0087665A">
        <w:t xml:space="preserve"> </w:t>
      </w:r>
      <w:r w:rsidR="0095359D">
        <w:t xml:space="preserve">information régulière </w:t>
      </w:r>
      <w:r w:rsidR="009D478C">
        <w:t>des</w:t>
      </w:r>
      <w:r w:rsidR="0087665A" w:rsidRPr="0087665A">
        <w:t xml:space="preserve"> O</w:t>
      </w:r>
      <w:r w:rsidR="00997413">
        <w:t xml:space="preserve">rganisations </w:t>
      </w:r>
      <w:r w:rsidR="0087665A" w:rsidRPr="0087665A">
        <w:t>R</w:t>
      </w:r>
      <w:r w:rsidR="00997413">
        <w:t xml:space="preserve">égionales </w:t>
      </w:r>
      <w:r w:rsidR="0095359D">
        <w:t>sur les projets présentés par les Institutions Financières.</w:t>
      </w:r>
      <w:r w:rsidR="0095359D" w:rsidRPr="0087665A" w:rsidDel="0095359D">
        <w:t xml:space="preserve"> </w:t>
      </w:r>
    </w:p>
    <w:p w:rsidR="00D13AA4" w:rsidRDefault="00D13AA4" w:rsidP="00997413">
      <w:pPr>
        <w:spacing w:after="0"/>
        <w:ind w:left="567" w:hanging="567"/>
        <w:jc w:val="both"/>
      </w:pPr>
    </w:p>
    <w:p w:rsidR="008D4DAA" w:rsidRPr="008D4DAA" w:rsidRDefault="008D4DAA" w:rsidP="008D4DAA">
      <w:pPr>
        <w:spacing w:after="0"/>
        <w:jc w:val="both"/>
        <w:rPr>
          <w:b/>
        </w:rPr>
      </w:pPr>
      <w:r w:rsidRPr="008D4DAA">
        <w:rPr>
          <w:b/>
        </w:rPr>
        <w:t>Résilience</w:t>
      </w:r>
      <w:r w:rsidR="009A5667">
        <w:rPr>
          <w:b/>
        </w:rPr>
        <w:t>, Sécurité Alimentaire et nutritionnelle et</w:t>
      </w:r>
      <w:r w:rsidRPr="008D4DAA">
        <w:rPr>
          <w:b/>
        </w:rPr>
        <w:t xml:space="preserve"> ressources naturelles </w:t>
      </w:r>
    </w:p>
    <w:p w:rsidR="00327916" w:rsidRDefault="00327916" w:rsidP="00C80E71">
      <w:pPr>
        <w:spacing w:after="0"/>
      </w:pPr>
    </w:p>
    <w:p w:rsidR="00213DB0" w:rsidRDefault="00D13AA4" w:rsidP="00213DB0">
      <w:pPr>
        <w:ind w:left="567" w:hanging="567"/>
        <w:jc w:val="both"/>
      </w:pPr>
      <w:r>
        <w:t>17</w:t>
      </w:r>
      <w:r w:rsidR="00FD4186">
        <w:t>.</w:t>
      </w:r>
      <w:r w:rsidR="00FD4186">
        <w:tab/>
      </w:r>
      <w:r w:rsidR="00592C53">
        <w:t>Le COS a</w:t>
      </w:r>
      <w:r w:rsidR="00EB72E3">
        <w:t xml:space="preserve"> noté le</w:t>
      </w:r>
      <w:r w:rsidR="00213DB0" w:rsidRPr="00213DB0">
        <w:t xml:space="preserve"> transfert </w:t>
      </w:r>
      <w:r w:rsidR="00213DB0">
        <w:t xml:space="preserve">effectif </w:t>
      </w:r>
      <w:r w:rsidR="00213DB0" w:rsidRPr="00213DB0">
        <w:t>de</w:t>
      </w:r>
      <w:r w:rsidR="00213DB0">
        <w:t>s</w:t>
      </w:r>
      <w:r w:rsidR="00213DB0" w:rsidRPr="00213DB0">
        <w:t xml:space="preserve"> 100 millions d’euros pour la contribution au Fonds Fiduciaire d’Urgence (FFU), </w:t>
      </w:r>
      <w:r w:rsidR="00213DB0">
        <w:t>et ont réaffirmé la nécessité de poursuivre diligemment les efforts d’identification et de formulation des projets relatifs (i) au</w:t>
      </w:r>
      <w:r w:rsidR="00213DB0" w:rsidRPr="00213DB0">
        <w:t xml:space="preserve"> </w:t>
      </w:r>
      <w:r w:rsidR="00213DB0">
        <w:t>s</w:t>
      </w:r>
      <w:r w:rsidR="00213DB0" w:rsidRPr="00213DB0">
        <w:t>outien à la Pêche, sa Surveillance et sa Coordinatio</w:t>
      </w:r>
      <w:r w:rsidR="00213DB0">
        <w:t xml:space="preserve">n en Afrique de l'Ouest, (ii) </w:t>
      </w:r>
      <w:r w:rsidR="00213DB0" w:rsidRPr="00213DB0">
        <w:t>à l’amélioration des conditions du pastoralisme et de la transhumance transfrontalière</w:t>
      </w:r>
      <w:r w:rsidR="00213DB0">
        <w:t>, (iii)</w:t>
      </w:r>
      <w:r w:rsidR="00213DB0" w:rsidRPr="00213DB0">
        <w:t xml:space="preserve"> à la gouvernance régionale des politiques agricoles </w:t>
      </w:r>
      <w:r w:rsidR="00E7151A">
        <w:t>et</w:t>
      </w:r>
      <w:r w:rsidR="00116F21">
        <w:t xml:space="preserve"> </w:t>
      </w:r>
      <w:r w:rsidR="00213DB0" w:rsidRPr="00213DB0">
        <w:t>de sécurité alimentaire et nutritionnelle</w:t>
      </w:r>
      <w:r w:rsidR="00E7151A">
        <w:t xml:space="preserve"> y compris les aspects de renforcement des capacités et ressources humaines de la CEDEAO et de l´UEMOA</w:t>
      </w:r>
      <w:r w:rsidR="00213DB0" w:rsidRPr="00213DB0">
        <w:t>.</w:t>
      </w:r>
    </w:p>
    <w:p w:rsidR="00E7151A" w:rsidRDefault="00D13AA4" w:rsidP="00652C78">
      <w:pPr>
        <w:spacing w:after="0"/>
        <w:ind w:left="567" w:hanging="567"/>
        <w:jc w:val="both"/>
      </w:pPr>
      <w:r>
        <w:t>18</w:t>
      </w:r>
      <w:r w:rsidR="00D96A7C">
        <w:t>.</w:t>
      </w:r>
      <w:r w:rsidR="00D96A7C">
        <w:tab/>
      </w:r>
      <w:r w:rsidR="00592C53">
        <w:t>Le COS a</w:t>
      </w:r>
      <w:r w:rsidR="00DE29D1">
        <w:t xml:space="preserve"> </w:t>
      </w:r>
      <w:r w:rsidR="00D96A7C">
        <w:t xml:space="preserve">demandé que </w:t>
      </w:r>
      <w:r w:rsidR="00E7151A">
        <w:t>d</w:t>
      </w:r>
      <w:r w:rsidR="00D96A7C">
        <w:t>es dispositions urgentes soient prises pour l’instruction des projets relatifs</w:t>
      </w:r>
      <w:r w:rsidR="00EB72E3">
        <w:t xml:space="preserve"> à</w:t>
      </w:r>
      <w:r w:rsidR="00D96A7C">
        <w:t xml:space="preserve"> (i) </w:t>
      </w:r>
      <w:r w:rsidR="00EB72E3">
        <w:t xml:space="preserve">la réserve alimentaire, la nutrition et les filets sociaux et (ii) l’intensification agricole durable dans deux </w:t>
      </w:r>
      <w:r w:rsidR="00E7151A">
        <w:t>filières</w:t>
      </w:r>
      <w:r w:rsidR="00EB72E3">
        <w:t xml:space="preserve"> stratégiques régionales (riz et maïs)</w:t>
      </w:r>
      <w:r w:rsidR="00E7151A">
        <w:t>.</w:t>
      </w:r>
    </w:p>
    <w:p w:rsidR="00E7151A" w:rsidRDefault="00E7151A" w:rsidP="00652C78">
      <w:pPr>
        <w:spacing w:after="0"/>
        <w:ind w:left="567" w:hanging="567"/>
        <w:jc w:val="both"/>
      </w:pPr>
    </w:p>
    <w:p w:rsidR="00CA525B" w:rsidRPr="00CA525B" w:rsidRDefault="00D13AA4" w:rsidP="00D13AA4">
      <w:pPr>
        <w:spacing w:after="0"/>
        <w:ind w:left="567" w:hanging="567"/>
        <w:jc w:val="both"/>
      </w:pPr>
      <w:r>
        <w:t>19</w:t>
      </w:r>
      <w:r w:rsidR="00101930">
        <w:t>.</w:t>
      </w:r>
      <w:r w:rsidR="00101930">
        <w:tab/>
      </w:r>
      <w:r w:rsidR="00592C53">
        <w:t>Le COS a</w:t>
      </w:r>
      <w:r w:rsidR="00652C78">
        <w:t xml:space="preserve"> réaffirmé la nécessité de poursuivre diligemment les efforts d’identification et de formulation des projets relatifs (i) au</w:t>
      </w:r>
      <w:r w:rsidR="00DE29D1" w:rsidRPr="00652C78">
        <w:t xml:space="preserve"> maintien et </w:t>
      </w:r>
      <w:r w:rsidR="00652C78">
        <w:t xml:space="preserve">à la </w:t>
      </w:r>
      <w:r w:rsidR="00DE29D1" w:rsidRPr="00652C78">
        <w:t>valorisation du patrimoine naturel et la sauvegarde des espèces et</w:t>
      </w:r>
      <w:r w:rsidR="00652C78">
        <w:t xml:space="preserve"> à</w:t>
      </w:r>
      <w:r w:rsidR="00DE29D1" w:rsidRPr="00652C78">
        <w:t xml:space="preserve"> la lutte contre la désertification</w:t>
      </w:r>
      <w:r w:rsidR="00652C78">
        <w:t xml:space="preserve">, (ii) au </w:t>
      </w:r>
      <w:r w:rsidR="00DE29D1" w:rsidRPr="00652C78">
        <w:t>renforcement de la gouvernance régionale pour la résilience et la gestion des ressources naturelles</w:t>
      </w:r>
      <w:r w:rsidR="00652C78">
        <w:t>, (iii) à la</w:t>
      </w:r>
      <w:r w:rsidR="00DE29D1" w:rsidRPr="00652C78">
        <w:t xml:space="preserve"> réduction de la vulnérabilité face aux risques climatiques et environnementaux.</w:t>
      </w:r>
    </w:p>
    <w:p w:rsidR="00CA525B" w:rsidRDefault="00CA525B" w:rsidP="0004013B">
      <w:pPr>
        <w:spacing w:after="0"/>
        <w:ind w:left="993" w:hanging="993"/>
        <w:jc w:val="both"/>
      </w:pPr>
    </w:p>
    <w:p w:rsidR="00CA525B" w:rsidRPr="00CA525B" w:rsidRDefault="00CA525B" w:rsidP="00CA525B">
      <w:pPr>
        <w:spacing w:after="0"/>
        <w:jc w:val="both"/>
        <w:rPr>
          <w:b/>
        </w:rPr>
      </w:pPr>
      <w:r w:rsidRPr="00CA525B">
        <w:rPr>
          <w:b/>
        </w:rPr>
        <w:t>Le Fonds Fiduciaire d’Urgence</w:t>
      </w:r>
      <w:r w:rsidR="000E5EEB">
        <w:rPr>
          <w:b/>
        </w:rPr>
        <w:t xml:space="preserve"> (« Trust </w:t>
      </w:r>
      <w:proofErr w:type="spellStart"/>
      <w:r w:rsidR="000E5EEB">
        <w:rPr>
          <w:b/>
        </w:rPr>
        <w:t>Fund</w:t>
      </w:r>
      <w:proofErr w:type="spellEnd"/>
      <w:r w:rsidR="000E5EEB">
        <w:rPr>
          <w:b/>
        </w:rPr>
        <w:t> »)</w:t>
      </w:r>
    </w:p>
    <w:p w:rsidR="00C80E71" w:rsidRDefault="00C80E71" w:rsidP="00C80E71">
      <w:pPr>
        <w:pStyle w:val="Paragraphedeliste"/>
        <w:spacing w:after="0"/>
      </w:pPr>
    </w:p>
    <w:p w:rsidR="00A1482A" w:rsidRDefault="0004013B" w:rsidP="00A1482A">
      <w:pPr>
        <w:spacing w:after="0"/>
        <w:ind w:left="567" w:hanging="567"/>
        <w:jc w:val="both"/>
      </w:pPr>
      <w:r>
        <w:t>2</w:t>
      </w:r>
      <w:r w:rsidR="00A1482A">
        <w:t>0</w:t>
      </w:r>
      <w:r>
        <w:t>.</w:t>
      </w:r>
      <w:r>
        <w:tab/>
      </w:r>
      <w:r w:rsidR="00DF4BC4">
        <w:t>Le COS a pris</w:t>
      </w:r>
      <w:r w:rsidR="00A1482A" w:rsidRPr="00A1482A">
        <w:t xml:space="preserve"> note de l’état d’avancement de la mise en œuvre du Fonds fiduciaire, y compris les activités du Comité Opérationnel, en charge de la sélection des projets éligibles à ce fonds. A l'étape actuelle 36 projets ont été approuvés pour tous les pays de la région du Sahel et du lac Tchad totalisant une enveloppe de 529 millions d'Euros. </w:t>
      </w:r>
    </w:p>
    <w:p w:rsidR="00A1482A" w:rsidRDefault="00A1482A" w:rsidP="00A1482A">
      <w:pPr>
        <w:spacing w:after="0"/>
        <w:ind w:left="567" w:hanging="567"/>
        <w:jc w:val="both"/>
      </w:pPr>
    </w:p>
    <w:p w:rsidR="00A1482A" w:rsidRDefault="00A1482A" w:rsidP="005E4797">
      <w:pPr>
        <w:spacing w:after="0"/>
        <w:ind w:left="567" w:hanging="567"/>
        <w:jc w:val="both"/>
      </w:pPr>
      <w:r>
        <w:t>21.</w:t>
      </w:r>
      <w:r>
        <w:tab/>
      </w:r>
      <w:r w:rsidR="00F4650F">
        <w:t>Le COS a</w:t>
      </w:r>
      <w:r w:rsidR="009F139B">
        <w:t xml:space="preserve"> pris bonne note de la trans</w:t>
      </w:r>
      <w:r w:rsidR="0095359D">
        <w:t xml:space="preserve">mission au Trust </w:t>
      </w:r>
      <w:proofErr w:type="spellStart"/>
      <w:r w:rsidR="0095359D">
        <w:t>Fund</w:t>
      </w:r>
      <w:proofErr w:type="spellEnd"/>
      <w:r w:rsidR="0095359D">
        <w:t xml:space="preserve"> des proje</w:t>
      </w:r>
      <w:r w:rsidR="00116F21">
        <w:t>ts suivants</w:t>
      </w:r>
      <w:r w:rsidR="009F139B">
        <w:t>:</w:t>
      </w:r>
      <w:r w:rsidR="00EB72E3">
        <w:t xml:space="preserve"> </w:t>
      </w:r>
      <w:r>
        <w:t>(i) à la</w:t>
      </w:r>
      <w:r w:rsidR="00EB72E3">
        <w:t xml:space="preserve"> </w:t>
      </w:r>
      <w:r>
        <w:t>p</w:t>
      </w:r>
      <w:r w:rsidRPr="005E4797">
        <w:t>romotion de l’Agro-écologie et de l’agriculture écologiquement intensive pour la résilience des populations de la région AO à l’insécurité alimentaire et aux changements climatiques</w:t>
      </w:r>
      <w:r>
        <w:t>, (ii) à l’a</w:t>
      </w:r>
      <w:r w:rsidRPr="005E4797">
        <w:t>ppui au développement de l’aviculture familiale dans les régions de la bande écologique transfrontalière commune du Bénin-Burkina Faso – Côte d’Ivoire – Ghana – Mali – Niger – Mali – Nigeria et Togo</w:t>
      </w:r>
      <w:r>
        <w:t>, (iii) à l’a</w:t>
      </w:r>
      <w:r w:rsidRPr="005E4797">
        <w:t>ppui au développement socio-économique et au renforcement de la résilience des populations de la zone transfrontalière libérée de l’onchocercose de l’espace CEDEAO.</w:t>
      </w:r>
      <w:r w:rsidR="0095359D">
        <w:t xml:space="preserve"> Il reste entendu que l´analyse des projets présentés se fera en cohérence avec les orientations stratégiques et critères dans le cadre du Trust </w:t>
      </w:r>
      <w:proofErr w:type="spellStart"/>
      <w:r w:rsidR="0095359D">
        <w:t>Fund</w:t>
      </w:r>
      <w:proofErr w:type="spellEnd"/>
      <w:r w:rsidR="0095359D">
        <w:t xml:space="preserve">.  </w:t>
      </w:r>
    </w:p>
    <w:p w:rsidR="005E4797" w:rsidRDefault="005E4797" w:rsidP="005E4797">
      <w:pPr>
        <w:spacing w:after="0"/>
        <w:ind w:left="567" w:hanging="567"/>
        <w:jc w:val="both"/>
      </w:pPr>
    </w:p>
    <w:p w:rsidR="00327916" w:rsidRDefault="008A5B98" w:rsidP="008A5B98">
      <w:pPr>
        <w:spacing w:after="120"/>
        <w:ind w:left="567" w:hanging="567"/>
        <w:jc w:val="both"/>
      </w:pPr>
      <w:r>
        <w:t>22.</w:t>
      </w:r>
      <w:r>
        <w:tab/>
      </w:r>
      <w:r w:rsidR="00F4650F">
        <w:t xml:space="preserve">Le COS a </w:t>
      </w:r>
      <w:r>
        <w:t xml:space="preserve">réaffirmé la </w:t>
      </w:r>
      <w:r w:rsidR="00A1482A" w:rsidRPr="00A1482A">
        <w:t xml:space="preserve">nécessité de partage </w:t>
      </w:r>
      <w:r w:rsidR="009F139B">
        <w:t>d</w:t>
      </w:r>
      <w:r w:rsidR="00A1482A" w:rsidRPr="00A1482A">
        <w:t xml:space="preserve">’information entre l’Union Européenne et les Ordonnateurs nationaux et régionaux en vue d’une meilleure appropriation et mise en œuvre effective des projets du Fonds </w:t>
      </w:r>
      <w:r>
        <w:t>Fiduciaire ; l</w:t>
      </w:r>
      <w:r w:rsidR="00A1482A" w:rsidRPr="00A1482A">
        <w:t>a nécessité</w:t>
      </w:r>
      <w:r w:rsidR="009F139B">
        <w:t xml:space="preserve"> de préciser les modalités de soumission et les critères d´éligibilité des projets régionaux présentés au Trust </w:t>
      </w:r>
      <w:proofErr w:type="spellStart"/>
      <w:r w:rsidR="009F139B">
        <w:t>Fund</w:t>
      </w:r>
      <w:proofErr w:type="spellEnd"/>
      <w:r w:rsidR="009F139B">
        <w:t xml:space="preserve">. </w:t>
      </w:r>
      <w:r w:rsidR="00A1482A" w:rsidRPr="00A1482A">
        <w:t xml:space="preserve"> </w:t>
      </w:r>
    </w:p>
    <w:p w:rsidR="008D581A" w:rsidRDefault="008D581A" w:rsidP="008D581A">
      <w:pPr>
        <w:spacing w:after="0"/>
        <w:jc w:val="both"/>
        <w:rPr>
          <w:b/>
        </w:rPr>
      </w:pPr>
    </w:p>
    <w:p w:rsidR="008D581A" w:rsidRPr="008D581A" w:rsidRDefault="008D581A" w:rsidP="008D581A">
      <w:pPr>
        <w:spacing w:after="0"/>
        <w:jc w:val="both"/>
        <w:rPr>
          <w:b/>
        </w:rPr>
      </w:pPr>
      <w:r w:rsidRPr="008D581A">
        <w:rPr>
          <w:b/>
        </w:rPr>
        <w:t>Etat de mise en œuvre des engagements de l’UE dans le cadre de l’appui au PAPED</w:t>
      </w:r>
    </w:p>
    <w:p w:rsidR="008D581A" w:rsidRPr="00B734B3" w:rsidRDefault="008D581A" w:rsidP="008D581A">
      <w:pPr>
        <w:tabs>
          <w:tab w:val="left" w:pos="2563"/>
        </w:tabs>
        <w:spacing w:after="0"/>
        <w:jc w:val="both"/>
        <w:rPr>
          <w:rFonts w:ascii="Arial" w:hAnsi="Arial" w:cs="Arial"/>
          <w:b/>
          <w:sz w:val="24"/>
          <w:szCs w:val="24"/>
        </w:rPr>
      </w:pPr>
      <w:r w:rsidRPr="00B734B3">
        <w:rPr>
          <w:rFonts w:ascii="Arial" w:hAnsi="Arial" w:cs="Arial"/>
          <w:b/>
          <w:sz w:val="24"/>
          <w:szCs w:val="24"/>
        </w:rPr>
        <w:tab/>
      </w:r>
    </w:p>
    <w:p w:rsidR="00B134A2" w:rsidRDefault="008D581A" w:rsidP="00B134A2">
      <w:pPr>
        <w:spacing w:after="0"/>
        <w:ind w:left="567" w:hanging="567"/>
        <w:jc w:val="both"/>
      </w:pPr>
      <w:r>
        <w:t>23.</w:t>
      </w:r>
      <w:r>
        <w:tab/>
      </w:r>
      <w:r w:rsidR="00F4650F">
        <w:t>Le COS a</w:t>
      </w:r>
      <w:r w:rsidR="00B134A2">
        <w:t xml:space="preserve"> pris note de l’</w:t>
      </w:r>
      <w:r w:rsidR="00B134A2" w:rsidRPr="008D581A">
        <w:t xml:space="preserve">état des lieux </w:t>
      </w:r>
      <w:r w:rsidR="00B134A2">
        <w:t>communiqué</w:t>
      </w:r>
      <w:r w:rsidR="00B134A2" w:rsidRPr="005E4797">
        <w:t xml:space="preserve"> par l’UE sur son </w:t>
      </w:r>
      <w:r w:rsidR="00B134A2" w:rsidRPr="008D581A">
        <w:t>engagement</w:t>
      </w:r>
      <w:r w:rsidR="00B134A2">
        <w:t xml:space="preserve"> </w:t>
      </w:r>
      <w:r w:rsidR="00B134A2" w:rsidRPr="008D581A">
        <w:t>vis-à-vis du PAPED</w:t>
      </w:r>
      <w:r w:rsidR="00B134A2">
        <w:t>. L’UE a fait savoir qu’un montant de</w:t>
      </w:r>
      <w:r w:rsidR="00B134A2" w:rsidRPr="008D581A">
        <w:t xml:space="preserve"> 2,27 milliards d’Euros</w:t>
      </w:r>
      <w:r w:rsidR="00B134A2">
        <w:t xml:space="preserve"> a été déjà</w:t>
      </w:r>
      <w:r w:rsidR="00B134A2" w:rsidRPr="008D581A">
        <w:t xml:space="preserve"> engagé pour l'année 2015</w:t>
      </w:r>
      <w:r w:rsidR="00B134A2">
        <w:t xml:space="preserve"> et reste engagé</w:t>
      </w:r>
      <w:r w:rsidR="00DC6E03">
        <w:t>e</w:t>
      </w:r>
      <w:r w:rsidR="00B134A2">
        <w:t xml:space="preserve"> à soutenir la région en ligne avec les conclusions du conseil du 17 mars 2014</w:t>
      </w:r>
      <w:r w:rsidR="00B134A2" w:rsidRPr="008D581A">
        <w:t>. La liste des projets concernés a été transmise par l’UE à la Commission de la CEDEAO. Suite au constat du COS de juillet 2015 d'une divergence sur la méthodologie d'évaluation des projets en appui au PAPED, une Task</w:t>
      </w:r>
      <w:r w:rsidR="00B134A2">
        <w:t>-</w:t>
      </w:r>
      <w:r w:rsidR="00B134A2" w:rsidRPr="008D581A">
        <w:t xml:space="preserve">Force </w:t>
      </w:r>
      <w:r w:rsidR="00321125">
        <w:t>s´est réuni</w:t>
      </w:r>
      <w:r w:rsidR="00903F2E">
        <w:t>e</w:t>
      </w:r>
      <w:r w:rsidR="00B134A2" w:rsidRPr="008D581A">
        <w:t xml:space="preserve"> en février 2016 pour harmoniser les approches. </w:t>
      </w:r>
    </w:p>
    <w:p w:rsidR="00B134A2" w:rsidRDefault="00B134A2" w:rsidP="00B134A2">
      <w:pPr>
        <w:spacing w:after="0"/>
        <w:ind w:left="567" w:hanging="567"/>
        <w:jc w:val="both"/>
      </w:pPr>
    </w:p>
    <w:p w:rsidR="00B134A2" w:rsidRDefault="00B134A2" w:rsidP="00B134A2">
      <w:pPr>
        <w:spacing w:after="120"/>
        <w:ind w:left="567" w:hanging="567"/>
        <w:jc w:val="both"/>
      </w:pPr>
      <w:r>
        <w:t>24.</w:t>
      </w:r>
      <w:r>
        <w:tab/>
      </w:r>
      <w:r w:rsidR="00592C53">
        <w:t xml:space="preserve">Le COS a </w:t>
      </w:r>
      <w:r>
        <w:t>reconnu la nécessité que l</w:t>
      </w:r>
      <w:r w:rsidRPr="008D581A">
        <w:t>’UE et l’Afrique de l’Ouest poursuivent leurs efforts en vue de parvenir à une méthodologie commune d’évaluation des engagements de l’UE au PAPED</w:t>
      </w:r>
      <w:r>
        <w:t xml:space="preserve">. </w:t>
      </w:r>
      <w:r w:rsidR="00E7151A">
        <w:t>Il a été convenu q</w:t>
      </w:r>
      <w:r>
        <w:t xml:space="preserve">ue les </w:t>
      </w:r>
      <w:r w:rsidRPr="008D581A">
        <w:t>Etats de l’Afrique de l’Ouest avec les O</w:t>
      </w:r>
      <w:r>
        <w:t xml:space="preserve">rdonnateurs </w:t>
      </w:r>
      <w:r w:rsidRPr="008D581A">
        <w:t>R</w:t>
      </w:r>
      <w:r>
        <w:t>égionaux</w:t>
      </w:r>
      <w:r w:rsidRPr="008D581A">
        <w:t xml:space="preserve"> poursuivent l'exercice d'évaluation des engagements de l'UE au PAPED en impliquant les Délégations et les Etats membres de l'UE ainsi que la BEI</w:t>
      </w:r>
      <w:r>
        <w:t>.</w:t>
      </w:r>
    </w:p>
    <w:p w:rsidR="00B134A2" w:rsidRDefault="00B134A2" w:rsidP="00B134A2">
      <w:pPr>
        <w:spacing w:after="0"/>
        <w:ind w:left="567"/>
      </w:pPr>
    </w:p>
    <w:p w:rsidR="00393103" w:rsidRDefault="00393103" w:rsidP="00B134A2">
      <w:pPr>
        <w:spacing w:after="0"/>
        <w:ind w:left="567" w:hanging="567"/>
        <w:jc w:val="both"/>
      </w:pPr>
    </w:p>
    <w:p w:rsidR="00592C53" w:rsidRDefault="00592C53" w:rsidP="00592C53">
      <w:pPr>
        <w:spacing w:after="0"/>
        <w:ind w:left="567" w:hanging="567"/>
        <w:jc w:val="center"/>
      </w:pPr>
      <w:r>
        <w:t>Lomé, le 23 juin 2016</w:t>
      </w:r>
    </w:p>
    <w:p w:rsidR="00592C53" w:rsidRDefault="00592C53" w:rsidP="00592C53">
      <w:pPr>
        <w:spacing w:after="0"/>
        <w:ind w:left="567" w:hanging="567"/>
        <w:jc w:val="center"/>
      </w:pPr>
    </w:p>
    <w:p w:rsidR="00592C53" w:rsidRDefault="00592C53" w:rsidP="00592C53">
      <w:pPr>
        <w:spacing w:after="0"/>
        <w:ind w:left="567" w:hanging="567"/>
        <w:jc w:val="cente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360"/>
      </w:tblGrid>
      <w:tr w:rsidR="00592C53" w:rsidTr="00592C53">
        <w:tc>
          <w:tcPr>
            <w:tcW w:w="4644" w:type="dxa"/>
          </w:tcPr>
          <w:p w:rsidR="00592C53" w:rsidRPr="00592C53" w:rsidRDefault="00592C53" w:rsidP="00592C53">
            <w:pPr>
              <w:jc w:val="center"/>
              <w:rPr>
                <w:b/>
              </w:rPr>
            </w:pPr>
            <w:r w:rsidRPr="00592C53">
              <w:rPr>
                <w:b/>
              </w:rPr>
              <w:t xml:space="preserve">S.E. M. Marcel A. de </w:t>
            </w:r>
            <w:proofErr w:type="spellStart"/>
            <w:r w:rsidRPr="00592C53">
              <w:rPr>
                <w:b/>
              </w:rPr>
              <w:t>Souza</w:t>
            </w:r>
            <w:proofErr w:type="spellEnd"/>
          </w:p>
          <w:p w:rsidR="00592C53" w:rsidRDefault="00592C53" w:rsidP="00592C53">
            <w:pPr>
              <w:jc w:val="center"/>
            </w:pPr>
            <w:r w:rsidRPr="00592C53">
              <w:t>Président d</w:t>
            </w:r>
            <w:r>
              <w:t>e la Commission de la CEDEAO</w:t>
            </w:r>
          </w:p>
          <w:p w:rsidR="00592C53" w:rsidRDefault="00592C53" w:rsidP="00592C53">
            <w:pPr>
              <w:jc w:val="center"/>
            </w:pPr>
          </w:p>
          <w:p w:rsidR="00592C53" w:rsidRDefault="00592C53" w:rsidP="00592C53">
            <w:pPr>
              <w:jc w:val="center"/>
            </w:pPr>
          </w:p>
          <w:p w:rsidR="00592C53" w:rsidRDefault="00592C53" w:rsidP="00592C53">
            <w:pPr>
              <w:jc w:val="center"/>
            </w:pPr>
          </w:p>
          <w:p w:rsidR="00592C53" w:rsidRDefault="00592C53" w:rsidP="00592C53">
            <w:pPr>
              <w:jc w:val="center"/>
            </w:pPr>
          </w:p>
          <w:p w:rsidR="00592C53" w:rsidRDefault="00592C53" w:rsidP="00592C53">
            <w:pPr>
              <w:jc w:val="center"/>
            </w:pPr>
          </w:p>
          <w:p w:rsidR="00592C53" w:rsidRDefault="00592C53" w:rsidP="00592C53">
            <w:pPr>
              <w:jc w:val="center"/>
            </w:pPr>
          </w:p>
        </w:tc>
        <w:tc>
          <w:tcPr>
            <w:tcW w:w="4644" w:type="dxa"/>
          </w:tcPr>
          <w:p w:rsidR="00592C53" w:rsidRPr="00592C53" w:rsidRDefault="00592C53" w:rsidP="00592C53">
            <w:pPr>
              <w:ind w:left="567" w:hanging="567"/>
              <w:jc w:val="center"/>
              <w:rPr>
                <w:b/>
              </w:rPr>
            </w:pPr>
            <w:r w:rsidRPr="00592C53">
              <w:rPr>
                <w:b/>
              </w:rPr>
              <w:t xml:space="preserve">S.E. M. </w:t>
            </w:r>
            <w:proofErr w:type="spellStart"/>
            <w:r w:rsidRPr="00592C53">
              <w:rPr>
                <w:b/>
              </w:rPr>
              <w:t>Cheikhe</w:t>
            </w:r>
            <w:proofErr w:type="spellEnd"/>
            <w:r w:rsidRPr="00592C53">
              <w:rPr>
                <w:b/>
              </w:rPr>
              <w:t xml:space="preserve"> </w:t>
            </w:r>
            <w:proofErr w:type="spellStart"/>
            <w:r w:rsidRPr="00592C53">
              <w:rPr>
                <w:b/>
              </w:rPr>
              <w:t>Hadjibou</w:t>
            </w:r>
            <w:proofErr w:type="spellEnd"/>
            <w:r w:rsidRPr="00592C53">
              <w:rPr>
                <w:b/>
              </w:rPr>
              <w:t xml:space="preserve"> </w:t>
            </w:r>
            <w:proofErr w:type="spellStart"/>
            <w:r w:rsidRPr="00592C53">
              <w:rPr>
                <w:b/>
              </w:rPr>
              <w:t>Soumaré</w:t>
            </w:r>
            <w:proofErr w:type="spellEnd"/>
          </w:p>
          <w:p w:rsidR="00592C53" w:rsidRDefault="00592C53" w:rsidP="00592C53">
            <w:pPr>
              <w:ind w:left="567" w:hanging="567"/>
              <w:jc w:val="center"/>
            </w:pPr>
            <w:r w:rsidRPr="00592C53">
              <w:t>Président de la Commission de l’UEMOA</w:t>
            </w:r>
          </w:p>
          <w:p w:rsidR="00592C53" w:rsidRDefault="00592C53" w:rsidP="00592C53">
            <w:pPr>
              <w:jc w:val="center"/>
            </w:pPr>
          </w:p>
        </w:tc>
      </w:tr>
      <w:tr w:rsidR="00592C53" w:rsidTr="00592C53">
        <w:tc>
          <w:tcPr>
            <w:tcW w:w="4644" w:type="dxa"/>
          </w:tcPr>
          <w:p w:rsidR="00592C53" w:rsidRDefault="00592C53" w:rsidP="00592C53">
            <w:pPr>
              <w:jc w:val="center"/>
            </w:pPr>
          </w:p>
          <w:p w:rsidR="00592C53" w:rsidRPr="00592C53" w:rsidRDefault="00592C53" w:rsidP="00592C53">
            <w:pPr>
              <w:ind w:left="567" w:hanging="567"/>
              <w:jc w:val="center"/>
              <w:rPr>
                <w:b/>
              </w:rPr>
            </w:pPr>
            <w:r w:rsidRPr="00592C53">
              <w:rPr>
                <w:b/>
              </w:rPr>
              <w:t xml:space="preserve">Mme Carla </w:t>
            </w:r>
            <w:proofErr w:type="spellStart"/>
            <w:r w:rsidRPr="00592C53">
              <w:rPr>
                <w:b/>
              </w:rPr>
              <w:t>Montesi</w:t>
            </w:r>
            <w:proofErr w:type="spellEnd"/>
          </w:p>
          <w:p w:rsidR="00592C53" w:rsidRDefault="00592C53" w:rsidP="00592C53">
            <w:pPr>
              <w:jc w:val="center"/>
            </w:pPr>
            <w:r w:rsidRPr="00592C53">
              <w:t>Directrice pour l’Afrique Occidentale et Centrale</w:t>
            </w:r>
            <w:r>
              <w:t xml:space="preserve"> de la Commission Européenne</w:t>
            </w:r>
          </w:p>
          <w:p w:rsidR="00592C53" w:rsidRDefault="00592C53" w:rsidP="00592C53">
            <w:pPr>
              <w:jc w:val="center"/>
            </w:pPr>
          </w:p>
        </w:tc>
        <w:tc>
          <w:tcPr>
            <w:tcW w:w="4644" w:type="dxa"/>
          </w:tcPr>
          <w:p w:rsidR="00592C53" w:rsidRDefault="00592C53" w:rsidP="00592C53">
            <w:pPr>
              <w:ind w:left="567" w:hanging="567"/>
              <w:jc w:val="center"/>
              <w:rPr>
                <w:b/>
              </w:rPr>
            </w:pPr>
          </w:p>
          <w:p w:rsidR="00592C53" w:rsidRPr="00592C53" w:rsidRDefault="00592C53" w:rsidP="00592C53">
            <w:pPr>
              <w:ind w:left="567" w:hanging="567"/>
              <w:jc w:val="center"/>
              <w:rPr>
                <w:b/>
              </w:rPr>
            </w:pPr>
            <w:r w:rsidRPr="00592C53">
              <w:rPr>
                <w:b/>
              </w:rPr>
              <w:t xml:space="preserve">M. </w:t>
            </w:r>
            <w:proofErr w:type="spellStart"/>
            <w:r w:rsidRPr="00592C53">
              <w:rPr>
                <w:b/>
              </w:rPr>
              <w:t>Hans-Peter</w:t>
            </w:r>
            <w:proofErr w:type="spellEnd"/>
            <w:r w:rsidRPr="00592C53">
              <w:rPr>
                <w:b/>
              </w:rPr>
              <w:t xml:space="preserve"> </w:t>
            </w:r>
            <w:proofErr w:type="spellStart"/>
            <w:r w:rsidRPr="00592C53">
              <w:rPr>
                <w:b/>
              </w:rPr>
              <w:t>Schadek</w:t>
            </w:r>
            <w:proofErr w:type="spellEnd"/>
          </w:p>
          <w:p w:rsidR="00592C53" w:rsidRDefault="00592C53" w:rsidP="00592C53">
            <w:pPr>
              <w:ind w:left="567" w:hanging="567"/>
              <w:jc w:val="center"/>
            </w:pPr>
            <w:r>
              <w:t>Directeur (faisant fonction)</w:t>
            </w:r>
          </w:p>
          <w:p w:rsidR="00592C53" w:rsidRDefault="00592C53" w:rsidP="00592C53">
            <w:pPr>
              <w:ind w:left="567" w:hanging="567"/>
              <w:jc w:val="center"/>
            </w:pPr>
            <w:r>
              <w:t>S</w:t>
            </w:r>
            <w:r w:rsidRPr="00592C53">
              <w:t>ervice Eu</w:t>
            </w:r>
            <w:r>
              <w:t>ropéen pour l’Action Extérieure</w:t>
            </w:r>
          </w:p>
          <w:p w:rsidR="00592C53" w:rsidRDefault="00592C53" w:rsidP="00592C53">
            <w:pPr>
              <w:ind w:left="567" w:hanging="567"/>
              <w:jc w:val="center"/>
            </w:pPr>
          </w:p>
          <w:p w:rsidR="00592C53" w:rsidRDefault="00592C53" w:rsidP="00592C53">
            <w:pPr>
              <w:ind w:left="567" w:hanging="567"/>
              <w:jc w:val="center"/>
            </w:pPr>
          </w:p>
          <w:p w:rsidR="00592C53" w:rsidRDefault="00592C53" w:rsidP="00592C53">
            <w:pPr>
              <w:ind w:left="567" w:hanging="567"/>
              <w:jc w:val="center"/>
            </w:pPr>
          </w:p>
          <w:p w:rsidR="00592C53" w:rsidRDefault="00592C53" w:rsidP="00592C53">
            <w:pPr>
              <w:ind w:left="567" w:hanging="567"/>
              <w:jc w:val="center"/>
            </w:pPr>
          </w:p>
          <w:p w:rsidR="00592C53" w:rsidRDefault="00592C53" w:rsidP="00592C53">
            <w:pPr>
              <w:jc w:val="center"/>
            </w:pPr>
          </w:p>
        </w:tc>
      </w:tr>
    </w:tbl>
    <w:p w:rsidR="00592C53" w:rsidRDefault="00592C53" w:rsidP="00592C53">
      <w:pPr>
        <w:spacing w:after="0"/>
        <w:ind w:left="567" w:hanging="567"/>
        <w:jc w:val="center"/>
      </w:pPr>
    </w:p>
    <w:sectPr w:rsidR="00592C53" w:rsidSect="00C574FF">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A76" w:rsidRDefault="00713A76" w:rsidP="007E5DB4">
      <w:pPr>
        <w:spacing w:after="0" w:line="240" w:lineRule="auto"/>
      </w:pPr>
      <w:r>
        <w:separator/>
      </w:r>
    </w:p>
  </w:endnote>
  <w:endnote w:type="continuationSeparator" w:id="0">
    <w:p w:rsidR="00713A76" w:rsidRDefault="00713A76" w:rsidP="007E5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882098"/>
      <w:docPartObj>
        <w:docPartGallery w:val="Page Numbers (Bottom of Page)"/>
        <w:docPartUnique/>
      </w:docPartObj>
    </w:sdtPr>
    <w:sdtContent>
      <w:p w:rsidR="00EC209A" w:rsidRDefault="00C574FF">
        <w:pPr>
          <w:pStyle w:val="Pieddepage"/>
          <w:jc w:val="center"/>
        </w:pPr>
        <w:r w:rsidRPr="007E5DB4">
          <w:rPr>
            <w:b/>
          </w:rPr>
          <w:fldChar w:fldCharType="begin"/>
        </w:r>
        <w:r w:rsidR="00EC209A" w:rsidRPr="007E5DB4">
          <w:rPr>
            <w:b/>
          </w:rPr>
          <w:instrText>PAGE   \* MERGEFORMAT</w:instrText>
        </w:r>
        <w:r w:rsidRPr="007E5DB4">
          <w:rPr>
            <w:b/>
          </w:rPr>
          <w:fldChar w:fldCharType="separate"/>
        </w:r>
        <w:r w:rsidR="003F34FC">
          <w:rPr>
            <w:b/>
            <w:noProof/>
          </w:rPr>
          <w:t>1</w:t>
        </w:r>
        <w:r w:rsidRPr="007E5DB4">
          <w:rPr>
            <w:b/>
          </w:rPr>
          <w:fldChar w:fldCharType="end"/>
        </w:r>
      </w:p>
    </w:sdtContent>
  </w:sdt>
  <w:p w:rsidR="00EC209A" w:rsidRDefault="00EC209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A76" w:rsidRDefault="00713A76" w:rsidP="007E5DB4">
      <w:pPr>
        <w:spacing w:after="0" w:line="240" w:lineRule="auto"/>
      </w:pPr>
      <w:r>
        <w:separator/>
      </w:r>
    </w:p>
  </w:footnote>
  <w:footnote w:type="continuationSeparator" w:id="0">
    <w:p w:rsidR="00713A76" w:rsidRDefault="00713A76" w:rsidP="007E5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BD14583_"/>
      </v:shape>
    </w:pict>
  </w:numPicBullet>
  <w:abstractNum w:abstractNumId="0">
    <w:nsid w:val="02744942"/>
    <w:multiLevelType w:val="hybridMultilevel"/>
    <w:tmpl w:val="66A8DB1A"/>
    <w:lvl w:ilvl="0" w:tplc="F69C67F0">
      <w:start w:val="1"/>
      <w:numFmt w:val="decimal"/>
      <w:lvlText w:val="%1."/>
      <w:lvlJc w:val="left"/>
      <w:pPr>
        <w:tabs>
          <w:tab w:val="num" w:pos="720"/>
        </w:tabs>
        <w:ind w:left="720" w:hanging="360"/>
      </w:pPr>
    </w:lvl>
    <w:lvl w:ilvl="1" w:tplc="006A5BA4" w:tentative="1">
      <w:start w:val="1"/>
      <w:numFmt w:val="decimal"/>
      <w:lvlText w:val="%2."/>
      <w:lvlJc w:val="left"/>
      <w:pPr>
        <w:tabs>
          <w:tab w:val="num" w:pos="1440"/>
        </w:tabs>
        <w:ind w:left="1440" w:hanging="360"/>
      </w:pPr>
    </w:lvl>
    <w:lvl w:ilvl="2" w:tplc="286ABFA0" w:tentative="1">
      <w:start w:val="1"/>
      <w:numFmt w:val="decimal"/>
      <w:lvlText w:val="%3."/>
      <w:lvlJc w:val="left"/>
      <w:pPr>
        <w:tabs>
          <w:tab w:val="num" w:pos="2160"/>
        </w:tabs>
        <w:ind w:left="2160" w:hanging="360"/>
      </w:pPr>
    </w:lvl>
    <w:lvl w:ilvl="3" w:tplc="F048B224" w:tentative="1">
      <w:start w:val="1"/>
      <w:numFmt w:val="decimal"/>
      <w:lvlText w:val="%4."/>
      <w:lvlJc w:val="left"/>
      <w:pPr>
        <w:tabs>
          <w:tab w:val="num" w:pos="2880"/>
        </w:tabs>
        <w:ind w:left="2880" w:hanging="360"/>
      </w:pPr>
    </w:lvl>
    <w:lvl w:ilvl="4" w:tplc="8738D1FC" w:tentative="1">
      <w:start w:val="1"/>
      <w:numFmt w:val="decimal"/>
      <w:lvlText w:val="%5."/>
      <w:lvlJc w:val="left"/>
      <w:pPr>
        <w:tabs>
          <w:tab w:val="num" w:pos="3600"/>
        </w:tabs>
        <w:ind w:left="3600" w:hanging="360"/>
      </w:pPr>
    </w:lvl>
    <w:lvl w:ilvl="5" w:tplc="6E9E3BAE" w:tentative="1">
      <w:start w:val="1"/>
      <w:numFmt w:val="decimal"/>
      <w:lvlText w:val="%6."/>
      <w:lvlJc w:val="left"/>
      <w:pPr>
        <w:tabs>
          <w:tab w:val="num" w:pos="4320"/>
        </w:tabs>
        <w:ind w:left="4320" w:hanging="360"/>
      </w:pPr>
    </w:lvl>
    <w:lvl w:ilvl="6" w:tplc="FFC85B9C" w:tentative="1">
      <w:start w:val="1"/>
      <w:numFmt w:val="decimal"/>
      <w:lvlText w:val="%7."/>
      <w:lvlJc w:val="left"/>
      <w:pPr>
        <w:tabs>
          <w:tab w:val="num" w:pos="5040"/>
        </w:tabs>
        <w:ind w:left="5040" w:hanging="360"/>
      </w:pPr>
    </w:lvl>
    <w:lvl w:ilvl="7" w:tplc="D44E5DD6" w:tentative="1">
      <w:start w:val="1"/>
      <w:numFmt w:val="decimal"/>
      <w:lvlText w:val="%8."/>
      <w:lvlJc w:val="left"/>
      <w:pPr>
        <w:tabs>
          <w:tab w:val="num" w:pos="5760"/>
        </w:tabs>
        <w:ind w:left="5760" w:hanging="360"/>
      </w:pPr>
    </w:lvl>
    <w:lvl w:ilvl="8" w:tplc="5CB29054" w:tentative="1">
      <w:start w:val="1"/>
      <w:numFmt w:val="decimal"/>
      <w:lvlText w:val="%9."/>
      <w:lvlJc w:val="left"/>
      <w:pPr>
        <w:tabs>
          <w:tab w:val="num" w:pos="6480"/>
        </w:tabs>
        <w:ind w:left="6480" w:hanging="360"/>
      </w:pPr>
    </w:lvl>
  </w:abstractNum>
  <w:abstractNum w:abstractNumId="1">
    <w:nsid w:val="031727D5"/>
    <w:multiLevelType w:val="hybridMultilevel"/>
    <w:tmpl w:val="AF7A6CD2"/>
    <w:lvl w:ilvl="0" w:tplc="930C968A">
      <w:start w:val="1"/>
      <w:numFmt w:val="bullet"/>
      <w:lvlText w:val=""/>
      <w:lvlPicBulletId w:val="0"/>
      <w:lvlJc w:val="left"/>
      <w:pPr>
        <w:ind w:left="2520" w:hanging="360"/>
      </w:pPr>
      <w:rPr>
        <w:rFonts w:ascii="Symbol" w:hAnsi="Symbol" w:hint="default"/>
        <w:b/>
        <w:color w:val="auto"/>
        <w:sz w:val="18"/>
        <w:szCs w:val="18"/>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nsid w:val="03661851"/>
    <w:multiLevelType w:val="hybridMultilevel"/>
    <w:tmpl w:val="1E0629DE"/>
    <w:lvl w:ilvl="0" w:tplc="930C968A">
      <w:start w:val="1"/>
      <w:numFmt w:val="bullet"/>
      <w:lvlText w:val=""/>
      <w:lvlPicBulletId w:val="0"/>
      <w:lvlJc w:val="left"/>
      <w:pPr>
        <w:ind w:left="720" w:hanging="360"/>
      </w:pPr>
      <w:rPr>
        <w:rFonts w:ascii="Symbol" w:hAnsi="Symbol" w:hint="default"/>
        <w:b/>
        <w:color w:val="auto"/>
        <w:sz w:val="18"/>
        <w:szCs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3A2965"/>
    <w:multiLevelType w:val="hybridMultilevel"/>
    <w:tmpl w:val="91169A46"/>
    <w:lvl w:ilvl="0" w:tplc="29981B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2A5ED1"/>
    <w:multiLevelType w:val="hybridMultilevel"/>
    <w:tmpl w:val="78A6D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AF584F"/>
    <w:multiLevelType w:val="hybridMultilevel"/>
    <w:tmpl w:val="59F0A2E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E23B34"/>
    <w:multiLevelType w:val="hybridMultilevel"/>
    <w:tmpl w:val="15FE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507FA"/>
    <w:multiLevelType w:val="hybridMultilevel"/>
    <w:tmpl w:val="604836C4"/>
    <w:lvl w:ilvl="0" w:tplc="930C968A">
      <w:start w:val="1"/>
      <w:numFmt w:val="bullet"/>
      <w:lvlText w:val=""/>
      <w:lvlPicBulletId w:val="0"/>
      <w:lvlJc w:val="left"/>
      <w:pPr>
        <w:ind w:left="1287" w:hanging="360"/>
      </w:pPr>
      <w:rPr>
        <w:rFonts w:ascii="Symbol" w:hAnsi="Symbol" w:hint="default"/>
        <w:b/>
        <w:color w:val="auto"/>
        <w:sz w:val="18"/>
        <w:szCs w:val="1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180477DA"/>
    <w:multiLevelType w:val="hybridMultilevel"/>
    <w:tmpl w:val="A3C2DDD0"/>
    <w:lvl w:ilvl="0" w:tplc="A0EAC7B2">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14779"/>
    <w:multiLevelType w:val="multilevel"/>
    <w:tmpl w:val="7ACEC83E"/>
    <w:lvl w:ilvl="0">
      <w:start w:val="2"/>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nsid w:val="1A067CB5"/>
    <w:multiLevelType w:val="hybridMultilevel"/>
    <w:tmpl w:val="1EC0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4771F"/>
    <w:multiLevelType w:val="hybridMultilevel"/>
    <w:tmpl w:val="FA204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C402F5"/>
    <w:multiLevelType w:val="hybridMultilevel"/>
    <w:tmpl w:val="4498F408"/>
    <w:lvl w:ilvl="0" w:tplc="930C968A">
      <w:start w:val="1"/>
      <w:numFmt w:val="bullet"/>
      <w:lvlText w:val=""/>
      <w:lvlPicBulletId w:val="0"/>
      <w:lvlJc w:val="left"/>
      <w:pPr>
        <w:ind w:left="1287" w:hanging="360"/>
      </w:pPr>
      <w:rPr>
        <w:rFonts w:ascii="Symbol" w:hAnsi="Symbol" w:hint="default"/>
        <w:b/>
        <w:color w:val="auto"/>
        <w:sz w:val="18"/>
        <w:szCs w:val="1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24A45F33"/>
    <w:multiLevelType w:val="hybridMultilevel"/>
    <w:tmpl w:val="D5C6984E"/>
    <w:lvl w:ilvl="0" w:tplc="930C968A">
      <w:start w:val="1"/>
      <w:numFmt w:val="bullet"/>
      <w:lvlText w:val=""/>
      <w:lvlPicBulletId w:val="0"/>
      <w:lvlJc w:val="left"/>
      <w:pPr>
        <w:ind w:left="720" w:hanging="360"/>
      </w:pPr>
      <w:rPr>
        <w:rFonts w:ascii="Symbol" w:hAnsi="Symbol" w:hint="default"/>
        <w:b/>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1665C4"/>
    <w:multiLevelType w:val="hybridMultilevel"/>
    <w:tmpl w:val="99C249FE"/>
    <w:lvl w:ilvl="0" w:tplc="FFA2AA0E">
      <w:start w:val="1"/>
      <w:numFmt w:val="bullet"/>
      <w:lvlText w:val="•"/>
      <w:lvlJc w:val="left"/>
      <w:pPr>
        <w:tabs>
          <w:tab w:val="num" w:pos="720"/>
        </w:tabs>
        <w:ind w:left="720" w:hanging="360"/>
      </w:pPr>
      <w:rPr>
        <w:rFonts w:ascii="Arial" w:hAnsi="Arial" w:hint="default"/>
      </w:rPr>
    </w:lvl>
    <w:lvl w:ilvl="1" w:tplc="59F2334C">
      <w:start w:val="1"/>
      <w:numFmt w:val="bullet"/>
      <w:lvlText w:val="•"/>
      <w:lvlJc w:val="left"/>
      <w:pPr>
        <w:tabs>
          <w:tab w:val="num" w:pos="1440"/>
        </w:tabs>
        <w:ind w:left="1440" w:hanging="360"/>
      </w:pPr>
      <w:rPr>
        <w:rFonts w:ascii="Arial" w:hAnsi="Arial" w:hint="default"/>
      </w:rPr>
    </w:lvl>
    <w:lvl w:ilvl="2" w:tplc="405C8490" w:tentative="1">
      <w:start w:val="1"/>
      <w:numFmt w:val="bullet"/>
      <w:lvlText w:val="•"/>
      <w:lvlJc w:val="left"/>
      <w:pPr>
        <w:tabs>
          <w:tab w:val="num" w:pos="2160"/>
        </w:tabs>
        <w:ind w:left="2160" w:hanging="360"/>
      </w:pPr>
      <w:rPr>
        <w:rFonts w:ascii="Arial" w:hAnsi="Arial" w:hint="default"/>
      </w:rPr>
    </w:lvl>
    <w:lvl w:ilvl="3" w:tplc="0F2C7E7E" w:tentative="1">
      <w:start w:val="1"/>
      <w:numFmt w:val="bullet"/>
      <w:lvlText w:val="•"/>
      <w:lvlJc w:val="left"/>
      <w:pPr>
        <w:tabs>
          <w:tab w:val="num" w:pos="2880"/>
        </w:tabs>
        <w:ind w:left="2880" w:hanging="360"/>
      </w:pPr>
      <w:rPr>
        <w:rFonts w:ascii="Arial" w:hAnsi="Arial" w:hint="default"/>
      </w:rPr>
    </w:lvl>
    <w:lvl w:ilvl="4" w:tplc="46D0E6FC" w:tentative="1">
      <w:start w:val="1"/>
      <w:numFmt w:val="bullet"/>
      <w:lvlText w:val="•"/>
      <w:lvlJc w:val="left"/>
      <w:pPr>
        <w:tabs>
          <w:tab w:val="num" w:pos="3600"/>
        </w:tabs>
        <w:ind w:left="3600" w:hanging="360"/>
      </w:pPr>
      <w:rPr>
        <w:rFonts w:ascii="Arial" w:hAnsi="Arial" w:hint="default"/>
      </w:rPr>
    </w:lvl>
    <w:lvl w:ilvl="5" w:tplc="D5D49FDC" w:tentative="1">
      <w:start w:val="1"/>
      <w:numFmt w:val="bullet"/>
      <w:lvlText w:val="•"/>
      <w:lvlJc w:val="left"/>
      <w:pPr>
        <w:tabs>
          <w:tab w:val="num" w:pos="4320"/>
        </w:tabs>
        <w:ind w:left="4320" w:hanging="360"/>
      </w:pPr>
      <w:rPr>
        <w:rFonts w:ascii="Arial" w:hAnsi="Arial" w:hint="default"/>
      </w:rPr>
    </w:lvl>
    <w:lvl w:ilvl="6" w:tplc="5510CA2E" w:tentative="1">
      <w:start w:val="1"/>
      <w:numFmt w:val="bullet"/>
      <w:lvlText w:val="•"/>
      <w:lvlJc w:val="left"/>
      <w:pPr>
        <w:tabs>
          <w:tab w:val="num" w:pos="5040"/>
        </w:tabs>
        <w:ind w:left="5040" w:hanging="360"/>
      </w:pPr>
      <w:rPr>
        <w:rFonts w:ascii="Arial" w:hAnsi="Arial" w:hint="default"/>
      </w:rPr>
    </w:lvl>
    <w:lvl w:ilvl="7" w:tplc="036C986A" w:tentative="1">
      <w:start w:val="1"/>
      <w:numFmt w:val="bullet"/>
      <w:lvlText w:val="•"/>
      <w:lvlJc w:val="left"/>
      <w:pPr>
        <w:tabs>
          <w:tab w:val="num" w:pos="5760"/>
        </w:tabs>
        <w:ind w:left="5760" w:hanging="360"/>
      </w:pPr>
      <w:rPr>
        <w:rFonts w:ascii="Arial" w:hAnsi="Arial" w:hint="default"/>
      </w:rPr>
    </w:lvl>
    <w:lvl w:ilvl="8" w:tplc="A39AD8C8" w:tentative="1">
      <w:start w:val="1"/>
      <w:numFmt w:val="bullet"/>
      <w:lvlText w:val="•"/>
      <w:lvlJc w:val="left"/>
      <w:pPr>
        <w:tabs>
          <w:tab w:val="num" w:pos="6480"/>
        </w:tabs>
        <w:ind w:left="6480" w:hanging="360"/>
      </w:pPr>
      <w:rPr>
        <w:rFonts w:ascii="Arial" w:hAnsi="Arial" w:hint="default"/>
      </w:rPr>
    </w:lvl>
  </w:abstractNum>
  <w:abstractNum w:abstractNumId="15">
    <w:nsid w:val="32390130"/>
    <w:multiLevelType w:val="hybridMultilevel"/>
    <w:tmpl w:val="7D64C4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6843C3"/>
    <w:multiLevelType w:val="hybridMultilevel"/>
    <w:tmpl w:val="88A47D5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EB53BD"/>
    <w:multiLevelType w:val="hybridMultilevel"/>
    <w:tmpl w:val="77463C86"/>
    <w:lvl w:ilvl="0" w:tplc="930C968A">
      <w:start w:val="1"/>
      <w:numFmt w:val="bullet"/>
      <w:lvlText w:val=""/>
      <w:lvlPicBulletId w:val="0"/>
      <w:lvlJc w:val="left"/>
      <w:pPr>
        <w:ind w:left="720" w:hanging="360"/>
      </w:pPr>
      <w:rPr>
        <w:rFonts w:ascii="Symbol" w:hAnsi="Symbol" w:hint="default"/>
        <w:b/>
        <w:color w:val="auto"/>
        <w:sz w:val="18"/>
        <w:szCs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3D31A0"/>
    <w:multiLevelType w:val="hybridMultilevel"/>
    <w:tmpl w:val="B60A428C"/>
    <w:lvl w:ilvl="0" w:tplc="930C968A">
      <w:start w:val="1"/>
      <w:numFmt w:val="bullet"/>
      <w:lvlText w:val=""/>
      <w:lvlPicBulletId w:val="0"/>
      <w:lvlJc w:val="left"/>
      <w:pPr>
        <w:ind w:left="720" w:hanging="360"/>
      </w:pPr>
      <w:rPr>
        <w:rFonts w:ascii="Symbol" w:hAnsi="Symbol" w:hint="default"/>
        <w:b/>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850F75"/>
    <w:multiLevelType w:val="hybridMultilevel"/>
    <w:tmpl w:val="DC28A652"/>
    <w:lvl w:ilvl="0" w:tplc="70586FBC">
      <w:start w:val="1"/>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7D6F16"/>
    <w:multiLevelType w:val="hybridMultilevel"/>
    <w:tmpl w:val="3C702334"/>
    <w:lvl w:ilvl="0" w:tplc="AA5E59F4">
      <w:start w:val="23"/>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1">
    <w:nsid w:val="42D76192"/>
    <w:multiLevelType w:val="hybridMultilevel"/>
    <w:tmpl w:val="EBBC2730"/>
    <w:lvl w:ilvl="0" w:tplc="C73AB36C">
      <w:start w:val="1"/>
      <w:numFmt w:val="bullet"/>
      <w:lvlText w:val="•"/>
      <w:lvlJc w:val="left"/>
      <w:pPr>
        <w:tabs>
          <w:tab w:val="num" w:pos="720"/>
        </w:tabs>
        <w:ind w:left="720" w:hanging="360"/>
      </w:pPr>
      <w:rPr>
        <w:rFonts w:ascii="Arial" w:hAnsi="Arial" w:hint="default"/>
      </w:rPr>
    </w:lvl>
    <w:lvl w:ilvl="1" w:tplc="D3589778" w:tentative="1">
      <w:start w:val="1"/>
      <w:numFmt w:val="bullet"/>
      <w:lvlText w:val="•"/>
      <w:lvlJc w:val="left"/>
      <w:pPr>
        <w:tabs>
          <w:tab w:val="num" w:pos="1440"/>
        </w:tabs>
        <w:ind w:left="1440" w:hanging="360"/>
      </w:pPr>
      <w:rPr>
        <w:rFonts w:ascii="Arial" w:hAnsi="Arial" w:hint="default"/>
      </w:rPr>
    </w:lvl>
    <w:lvl w:ilvl="2" w:tplc="46545BF0" w:tentative="1">
      <w:start w:val="1"/>
      <w:numFmt w:val="bullet"/>
      <w:lvlText w:val="•"/>
      <w:lvlJc w:val="left"/>
      <w:pPr>
        <w:tabs>
          <w:tab w:val="num" w:pos="2160"/>
        </w:tabs>
        <w:ind w:left="2160" w:hanging="360"/>
      </w:pPr>
      <w:rPr>
        <w:rFonts w:ascii="Arial" w:hAnsi="Arial" w:hint="default"/>
      </w:rPr>
    </w:lvl>
    <w:lvl w:ilvl="3" w:tplc="5E7C589A" w:tentative="1">
      <w:start w:val="1"/>
      <w:numFmt w:val="bullet"/>
      <w:lvlText w:val="•"/>
      <w:lvlJc w:val="left"/>
      <w:pPr>
        <w:tabs>
          <w:tab w:val="num" w:pos="2880"/>
        </w:tabs>
        <w:ind w:left="2880" w:hanging="360"/>
      </w:pPr>
      <w:rPr>
        <w:rFonts w:ascii="Arial" w:hAnsi="Arial" w:hint="default"/>
      </w:rPr>
    </w:lvl>
    <w:lvl w:ilvl="4" w:tplc="70640DCC" w:tentative="1">
      <w:start w:val="1"/>
      <w:numFmt w:val="bullet"/>
      <w:lvlText w:val="•"/>
      <w:lvlJc w:val="left"/>
      <w:pPr>
        <w:tabs>
          <w:tab w:val="num" w:pos="3600"/>
        </w:tabs>
        <w:ind w:left="3600" w:hanging="360"/>
      </w:pPr>
      <w:rPr>
        <w:rFonts w:ascii="Arial" w:hAnsi="Arial" w:hint="default"/>
      </w:rPr>
    </w:lvl>
    <w:lvl w:ilvl="5" w:tplc="BD46DA14" w:tentative="1">
      <w:start w:val="1"/>
      <w:numFmt w:val="bullet"/>
      <w:lvlText w:val="•"/>
      <w:lvlJc w:val="left"/>
      <w:pPr>
        <w:tabs>
          <w:tab w:val="num" w:pos="4320"/>
        </w:tabs>
        <w:ind w:left="4320" w:hanging="360"/>
      </w:pPr>
      <w:rPr>
        <w:rFonts w:ascii="Arial" w:hAnsi="Arial" w:hint="default"/>
      </w:rPr>
    </w:lvl>
    <w:lvl w:ilvl="6" w:tplc="F440FD42" w:tentative="1">
      <w:start w:val="1"/>
      <w:numFmt w:val="bullet"/>
      <w:lvlText w:val="•"/>
      <w:lvlJc w:val="left"/>
      <w:pPr>
        <w:tabs>
          <w:tab w:val="num" w:pos="5040"/>
        </w:tabs>
        <w:ind w:left="5040" w:hanging="360"/>
      </w:pPr>
      <w:rPr>
        <w:rFonts w:ascii="Arial" w:hAnsi="Arial" w:hint="default"/>
      </w:rPr>
    </w:lvl>
    <w:lvl w:ilvl="7" w:tplc="90686D2E" w:tentative="1">
      <w:start w:val="1"/>
      <w:numFmt w:val="bullet"/>
      <w:lvlText w:val="•"/>
      <w:lvlJc w:val="left"/>
      <w:pPr>
        <w:tabs>
          <w:tab w:val="num" w:pos="5760"/>
        </w:tabs>
        <w:ind w:left="5760" w:hanging="360"/>
      </w:pPr>
      <w:rPr>
        <w:rFonts w:ascii="Arial" w:hAnsi="Arial" w:hint="default"/>
      </w:rPr>
    </w:lvl>
    <w:lvl w:ilvl="8" w:tplc="EF924EBC" w:tentative="1">
      <w:start w:val="1"/>
      <w:numFmt w:val="bullet"/>
      <w:lvlText w:val="•"/>
      <w:lvlJc w:val="left"/>
      <w:pPr>
        <w:tabs>
          <w:tab w:val="num" w:pos="6480"/>
        </w:tabs>
        <w:ind w:left="6480" w:hanging="360"/>
      </w:pPr>
      <w:rPr>
        <w:rFonts w:ascii="Arial" w:hAnsi="Arial" w:hint="default"/>
      </w:rPr>
    </w:lvl>
  </w:abstractNum>
  <w:abstractNum w:abstractNumId="22">
    <w:nsid w:val="46463B9C"/>
    <w:multiLevelType w:val="hybridMultilevel"/>
    <w:tmpl w:val="33C45DCC"/>
    <w:lvl w:ilvl="0" w:tplc="930C968A">
      <w:start w:val="1"/>
      <w:numFmt w:val="bullet"/>
      <w:lvlText w:val=""/>
      <w:lvlPicBulletId w:val="0"/>
      <w:lvlJc w:val="left"/>
      <w:pPr>
        <w:ind w:left="720" w:hanging="360"/>
      </w:pPr>
      <w:rPr>
        <w:rFonts w:ascii="Symbol" w:hAnsi="Symbol" w:hint="default"/>
        <w:b/>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136DB0"/>
    <w:multiLevelType w:val="hybridMultilevel"/>
    <w:tmpl w:val="59B01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AE4ED5"/>
    <w:multiLevelType w:val="hybridMultilevel"/>
    <w:tmpl w:val="F5008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5D2262"/>
    <w:multiLevelType w:val="hybridMultilevel"/>
    <w:tmpl w:val="41887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6447A9"/>
    <w:multiLevelType w:val="hybridMultilevel"/>
    <w:tmpl w:val="BD1C766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136371"/>
    <w:multiLevelType w:val="hybridMultilevel"/>
    <w:tmpl w:val="7590871E"/>
    <w:lvl w:ilvl="0" w:tplc="930C968A">
      <w:start w:val="1"/>
      <w:numFmt w:val="bullet"/>
      <w:lvlText w:val=""/>
      <w:lvlPicBulletId w:val="0"/>
      <w:lvlJc w:val="left"/>
      <w:pPr>
        <w:ind w:left="720" w:hanging="360"/>
      </w:pPr>
      <w:rPr>
        <w:rFonts w:ascii="Symbol" w:hAnsi="Symbol" w:hint="default"/>
        <w:b/>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676BC6"/>
    <w:multiLevelType w:val="hybridMultilevel"/>
    <w:tmpl w:val="903484F0"/>
    <w:lvl w:ilvl="0" w:tplc="70586FBC">
      <w:start w:val="1"/>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6146E7"/>
    <w:multiLevelType w:val="hybridMultilevel"/>
    <w:tmpl w:val="9C6E9F68"/>
    <w:lvl w:ilvl="0" w:tplc="6A0E0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4C636C"/>
    <w:multiLevelType w:val="hybridMultilevel"/>
    <w:tmpl w:val="E6A04C3E"/>
    <w:lvl w:ilvl="0" w:tplc="930C968A">
      <w:start w:val="1"/>
      <w:numFmt w:val="bullet"/>
      <w:lvlText w:val=""/>
      <w:lvlPicBulletId w:val="0"/>
      <w:lvlJc w:val="left"/>
      <w:pPr>
        <w:ind w:left="720" w:hanging="360"/>
      </w:pPr>
      <w:rPr>
        <w:rFonts w:ascii="Symbol" w:hAnsi="Symbol" w:hint="default"/>
        <w:b/>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E02AC9"/>
    <w:multiLevelType w:val="hybridMultilevel"/>
    <w:tmpl w:val="2C52B6A6"/>
    <w:lvl w:ilvl="0" w:tplc="930C968A">
      <w:start w:val="1"/>
      <w:numFmt w:val="bullet"/>
      <w:lvlText w:val=""/>
      <w:lvlPicBulletId w:val="0"/>
      <w:lvlJc w:val="left"/>
      <w:pPr>
        <w:ind w:left="1429" w:hanging="360"/>
      </w:pPr>
      <w:rPr>
        <w:rFonts w:ascii="Symbol" w:hAnsi="Symbol" w:hint="default"/>
        <w:b/>
        <w:color w:val="auto"/>
        <w:sz w:val="18"/>
        <w:szCs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714829DF"/>
    <w:multiLevelType w:val="hybridMultilevel"/>
    <w:tmpl w:val="3904A77A"/>
    <w:lvl w:ilvl="0" w:tplc="83D4DF36">
      <w:start w:val="1"/>
      <w:numFmt w:val="bullet"/>
      <w:lvlText w:val="•"/>
      <w:lvlJc w:val="left"/>
      <w:pPr>
        <w:tabs>
          <w:tab w:val="num" w:pos="720"/>
        </w:tabs>
        <w:ind w:left="720" w:hanging="360"/>
      </w:pPr>
      <w:rPr>
        <w:rFonts w:ascii="Arial" w:hAnsi="Arial" w:hint="default"/>
      </w:rPr>
    </w:lvl>
    <w:lvl w:ilvl="1" w:tplc="BCF0E71C" w:tentative="1">
      <w:start w:val="1"/>
      <w:numFmt w:val="bullet"/>
      <w:lvlText w:val="•"/>
      <w:lvlJc w:val="left"/>
      <w:pPr>
        <w:tabs>
          <w:tab w:val="num" w:pos="1440"/>
        </w:tabs>
        <w:ind w:left="1440" w:hanging="360"/>
      </w:pPr>
      <w:rPr>
        <w:rFonts w:ascii="Arial" w:hAnsi="Arial" w:hint="default"/>
      </w:rPr>
    </w:lvl>
    <w:lvl w:ilvl="2" w:tplc="ABEACA0A" w:tentative="1">
      <w:start w:val="1"/>
      <w:numFmt w:val="bullet"/>
      <w:lvlText w:val="•"/>
      <w:lvlJc w:val="left"/>
      <w:pPr>
        <w:tabs>
          <w:tab w:val="num" w:pos="2160"/>
        </w:tabs>
        <w:ind w:left="2160" w:hanging="360"/>
      </w:pPr>
      <w:rPr>
        <w:rFonts w:ascii="Arial" w:hAnsi="Arial" w:hint="default"/>
      </w:rPr>
    </w:lvl>
    <w:lvl w:ilvl="3" w:tplc="58C262A4" w:tentative="1">
      <w:start w:val="1"/>
      <w:numFmt w:val="bullet"/>
      <w:lvlText w:val="•"/>
      <w:lvlJc w:val="left"/>
      <w:pPr>
        <w:tabs>
          <w:tab w:val="num" w:pos="2880"/>
        </w:tabs>
        <w:ind w:left="2880" w:hanging="360"/>
      </w:pPr>
      <w:rPr>
        <w:rFonts w:ascii="Arial" w:hAnsi="Arial" w:hint="default"/>
      </w:rPr>
    </w:lvl>
    <w:lvl w:ilvl="4" w:tplc="8B00E618" w:tentative="1">
      <w:start w:val="1"/>
      <w:numFmt w:val="bullet"/>
      <w:lvlText w:val="•"/>
      <w:lvlJc w:val="left"/>
      <w:pPr>
        <w:tabs>
          <w:tab w:val="num" w:pos="3600"/>
        </w:tabs>
        <w:ind w:left="3600" w:hanging="360"/>
      </w:pPr>
      <w:rPr>
        <w:rFonts w:ascii="Arial" w:hAnsi="Arial" w:hint="default"/>
      </w:rPr>
    </w:lvl>
    <w:lvl w:ilvl="5" w:tplc="CC266EAC" w:tentative="1">
      <w:start w:val="1"/>
      <w:numFmt w:val="bullet"/>
      <w:lvlText w:val="•"/>
      <w:lvlJc w:val="left"/>
      <w:pPr>
        <w:tabs>
          <w:tab w:val="num" w:pos="4320"/>
        </w:tabs>
        <w:ind w:left="4320" w:hanging="360"/>
      </w:pPr>
      <w:rPr>
        <w:rFonts w:ascii="Arial" w:hAnsi="Arial" w:hint="default"/>
      </w:rPr>
    </w:lvl>
    <w:lvl w:ilvl="6" w:tplc="5E3E05AE" w:tentative="1">
      <w:start w:val="1"/>
      <w:numFmt w:val="bullet"/>
      <w:lvlText w:val="•"/>
      <w:lvlJc w:val="left"/>
      <w:pPr>
        <w:tabs>
          <w:tab w:val="num" w:pos="5040"/>
        </w:tabs>
        <w:ind w:left="5040" w:hanging="360"/>
      </w:pPr>
      <w:rPr>
        <w:rFonts w:ascii="Arial" w:hAnsi="Arial" w:hint="default"/>
      </w:rPr>
    </w:lvl>
    <w:lvl w:ilvl="7" w:tplc="37C62AE6" w:tentative="1">
      <w:start w:val="1"/>
      <w:numFmt w:val="bullet"/>
      <w:lvlText w:val="•"/>
      <w:lvlJc w:val="left"/>
      <w:pPr>
        <w:tabs>
          <w:tab w:val="num" w:pos="5760"/>
        </w:tabs>
        <w:ind w:left="5760" w:hanging="360"/>
      </w:pPr>
      <w:rPr>
        <w:rFonts w:ascii="Arial" w:hAnsi="Arial" w:hint="default"/>
      </w:rPr>
    </w:lvl>
    <w:lvl w:ilvl="8" w:tplc="3CF87678" w:tentative="1">
      <w:start w:val="1"/>
      <w:numFmt w:val="bullet"/>
      <w:lvlText w:val="•"/>
      <w:lvlJc w:val="left"/>
      <w:pPr>
        <w:tabs>
          <w:tab w:val="num" w:pos="6480"/>
        </w:tabs>
        <w:ind w:left="6480" w:hanging="360"/>
      </w:pPr>
      <w:rPr>
        <w:rFonts w:ascii="Arial" w:hAnsi="Arial" w:hint="default"/>
      </w:rPr>
    </w:lvl>
  </w:abstractNum>
  <w:abstractNum w:abstractNumId="33">
    <w:nsid w:val="74C863C3"/>
    <w:multiLevelType w:val="hybridMultilevel"/>
    <w:tmpl w:val="DCAA17FE"/>
    <w:lvl w:ilvl="0" w:tplc="930C968A">
      <w:start w:val="1"/>
      <w:numFmt w:val="bullet"/>
      <w:lvlText w:val=""/>
      <w:lvlPicBulletId w:val="0"/>
      <w:lvlJc w:val="left"/>
      <w:pPr>
        <w:ind w:left="720" w:hanging="360"/>
      </w:pPr>
      <w:rPr>
        <w:rFonts w:ascii="Symbol" w:hAnsi="Symbol" w:hint="default"/>
        <w:b/>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66963DC"/>
    <w:multiLevelType w:val="hybridMultilevel"/>
    <w:tmpl w:val="5BE4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D0504CF"/>
    <w:multiLevelType w:val="hybridMultilevel"/>
    <w:tmpl w:val="683EB2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24"/>
  </w:num>
  <w:num w:numId="4">
    <w:abstractNumId w:val="4"/>
  </w:num>
  <w:num w:numId="5">
    <w:abstractNumId w:val="0"/>
  </w:num>
  <w:num w:numId="6">
    <w:abstractNumId w:val="15"/>
  </w:num>
  <w:num w:numId="7">
    <w:abstractNumId w:val="26"/>
  </w:num>
  <w:num w:numId="8">
    <w:abstractNumId w:val="2"/>
  </w:num>
  <w:num w:numId="9">
    <w:abstractNumId w:val="17"/>
  </w:num>
  <w:num w:numId="10">
    <w:abstractNumId w:val="16"/>
  </w:num>
  <w:num w:numId="11">
    <w:abstractNumId w:val="1"/>
  </w:num>
  <w:num w:numId="12">
    <w:abstractNumId w:val="12"/>
  </w:num>
  <w:num w:numId="13">
    <w:abstractNumId w:val="6"/>
  </w:num>
  <w:num w:numId="14">
    <w:abstractNumId w:val="7"/>
  </w:num>
  <w:num w:numId="15">
    <w:abstractNumId w:val="9"/>
  </w:num>
  <w:num w:numId="16">
    <w:abstractNumId w:val="30"/>
  </w:num>
  <w:num w:numId="17">
    <w:abstractNumId w:val="10"/>
  </w:num>
  <w:num w:numId="18">
    <w:abstractNumId w:val="5"/>
  </w:num>
  <w:num w:numId="19">
    <w:abstractNumId w:val="19"/>
  </w:num>
  <w:num w:numId="20">
    <w:abstractNumId w:val="28"/>
  </w:num>
  <w:num w:numId="21">
    <w:abstractNumId w:val="32"/>
  </w:num>
  <w:num w:numId="22">
    <w:abstractNumId w:val="13"/>
  </w:num>
  <w:num w:numId="23">
    <w:abstractNumId w:val="27"/>
  </w:num>
  <w:num w:numId="24">
    <w:abstractNumId w:val="18"/>
  </w:num>
  <w:num w:numId="25">
    <w:abstractNumId w:val="31"/>
  </w:num>
  <w:num w:numId="26">
    <w:abstractNumId w:val="34"/>
  </w:num>
  <w:num w:numId="27">
    <w:abstractNumId w:val="33"/>
  </w:num>
  <w:num w:numId="28">
    <w:abstractNumId w:val="14"/>
  </w:num>
  <w:num w:numId="29">
    <w:abstractNumId w:val="22"/>
  </w:num>
  <w:num w:numId="30">
    <w:abstractNumId w:val="3"/>
  </w:num>
  <w:num w:numId="31">
    <w:abstractNumId w:val="8"/>
  </w:num>
  <w:num w:numId="32">
    <w:abstractNumId w:val="29"/>
  </w:num>
  <w:num w:numId="33">
    <w:abstractNumId w:val="21"/>
  </w:num>
  <w:num w:numId="34">
    <w:abstractNumId w:val="11"/>
  </w:num>
  <w:num w:numId="35">
    <w:abstractNumId w:val="20"/>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529B6"/>
    <w:rsid w:val="00003E54"/>
    <w:rsid w:val="00004410"/>
    <w:rsid w:val="00011038"/>
    <w:rsid w:val="00015FC9"/>
    <w:rsid w:val="0002238C"/>
    <w:rsid w:val="000239BE"/>
    <w:rsid w:val="00026A38"/>
    <w:rsid w:val="000278BB"/>
    <w:rsid w:val="0004013B"/>
    <w:rsid w:val="00054701"/>
    <w:rsid w:val="00064DE8"/>
    <w:rsid w:val="00066BDB"/>
    <w:rsid w:val="00070FF9"/>
    <w:rsid w:val="0009200B"/>
    <w:rsid w:val="00097CEA"/>
    <w:rsid w:val="000A5499"/>
    <w:rsid w:val="000B4693"/>
    <w:rsid w:val="000C2306"/>
    <w:rsid w:val="000C7580"/>
    <w:rsid w:val="000E5EEB"/>
    <w:rsid w:val="000E75B9"/>
    <w:rsid w:val="000F0AFC"/>
    <w:rsid w:val="000F2F02"/>
    <w:rsid w:val="000F370E"/>
    <w:rsid w:val="00101930"/>
    <w:rsid w:val="00104F27"/>
    <w:rsid w:val="001121E6"/>
    <w:rsid w:val="001123D9"/>
    <w:rsid w:val="001134A2"/>
    <w:rsid w:val="00116EDD"/>
    <w:rsid w:val="00116F21"/>
    <w:rsid w:val="00136386"/>
    <w:rsid w:val="00141356"/>
    <w:rsid w:val="00185A45"/>
    <w:rsid w:val="00197079"/>
    <w:rsid w:val="001D7AB9"/>
    <w:rsid w:val="001E7A66"/>
    <w:rsid w:val="001F1EFC"/>
    <w:rsid w:val="001F6D7D"/>
    <w:rsid w:val="001F7F0E"/>
    <w:rsid w:val="002076E6"/>
    <w:rsid w:val="00213DB0"/>
    <w:rsid w:val="00220BB4"/>
    <w:rsid w:val="00243BB5"/>
    <w:rsid w:val="00246EA4"/>
    <w:rsid w:val="00247158"/>
    <w:rsid w:val="002502A4"/>
    <w:rsid w:val="0025551D"/>
    <w:rsid w:val="00263921"/>
    <w:rsid w:val="00264F4A"/>
    <w:rsid w:val="00273C75"/>
    <w:rsid w:val="002956CA"/>
    <w:rsid w:val="002C69B1"/>
    <w:rsid w:val="002D156E"/>
    <w:rsid w:val="002F2693"/>
    <w:rsid w:val="002F3564"/>
    <w:rsid w:val="002F5C08"/>
    <w:rsid w:val="00311594"/>
    <w:rsid w:val="0031308F"/>
    <w:rsid w:val="00314672"/>
    <w:rsid w:val="00321125"/>
    <w:rsid w:val="00327916"/>
    <w:rsid w:val="00337A03"/>
    <w:rsid w:val="00342045"/>
    <w:rsid w:val="00352528"/>
    <w:rsid w:val="003529B6"/>
    <w:rsid w:val="00360DF5"/>
    <w:rsid w:val="00367A65"/>
    <w:rsid w:val="00384A6D"/>
    <w:rsid w:val="00384F72"/>
    <w:rsid w:val="0039019C"/>
    <w:rsid w:val="00393103"/>
    <w:rsid w:val="003A07F2"/>
    <w:rsid w:val="003A6A48"/>
    <w:rsid w:val="003B1326"/>
    <w:rsid w:val="003B4D0C"/>
    <w:rsid w:val="003B713C"/>
    <w:rsid w:val="003E0FCD"/>
    <w:rsid w:val="003F2C3E"/>
    <w:rsid w:val="003F31DC"/>
    <w:rsid w:val="003F34FC"/>
    <w:rsid w:val="00402F48"/>
    <w:rsid w:val="004248D5"/>
    <w:rsid w:val="00450188"/>
    <w:rsid w:val="00471C44"/>
    <w:rsid w:val="00486051"/>
    <w:rsid w:val="004920D4"/>
    <w:rsid w:val="00492DF2"/>
    <w:rsid w:val="004B3DD1"/>
    <w:rsid w:val="004B4EE8"/>
    <w:rsid w:val="004C31DC"/>
    <w:rsid w:val="004F6466"/>
    <w:rsid w:val="004F79C6"/>
    <w:rsid w:val="004F7E60"/>
    <w:rsid w:val="00504F61"/>
    <w:rsid w:val="0051605E"/>
    <w:rsid w:val="00541F96"/>
    <w:rsid w:val="005466F5"/>
    <w:rsid w:val="00546C66"/>
    <w:rsid w:val="005524FB"/>
    <w:rsid w:val="00556815"/>
    <w:rsid w:val="00557B9B"/>
    <w:rsid w:val="00580B26"/>
    <w:rsid w:val="005854D1"/>
    <w:rsid w:val="00592C53"/>
    <w:rsid w:val="00596369"/>
    <w:rsid w:val="005B2076"/>
    <w:rsid w:val="005B5700"/>
    <w:rsid w:val="005C0C10"/>
    <w:rsid w:val="005D6A04"/>
    <w:rsid w:val="005E3872"/>
    <w:rsid w:val="005E4797"/>
    <w:rsid w:val="005F59D9"/>
    <w:rsid w:val="0060767E"/>
    <w:rsid w:val="006300FD"/>
    <w:rsid w:val="006409DC"/>
    <w:rsid w:val="00644BAB"/>
    <w:rsid w:val="006505D7"/>
    <w:rsid w:val="00652C78"/>
    <w:rsid w:val="0066730C"/>
    <w:rsid w:val="00677F56"/>
    <w:rsid w:val="00685EFD"/>
    <w:rsid w:val="006A30C2"/>
    <w:rsid w:val="006A5B15"/>
    <w:rsid w:val="006B4308"/>
    <w:rsid w:val="006C60E3"/>
    <w:rsid w:val="006E137C"/>
    <w:rsid w:val="006F109A"/>
    <w:rsid w:val="006F3890"/>
    <w:rsid w:val="0070039C"/>
    <w:rsid w:val="00700650"/>
    <w:rsid w:val="0070072A"/>
    <w:rsid w:val="00707221"/>
    <w:rsid w:val="00713419"/>
    <w:rsid w:val="00713A76"/>
    <w:rsid w:val="00723F1D"/>
    <w:rsid w:val="0073300A"/>
    <w:rsid w:val="007424B8"/>
    <w:rsid w:val="007509C7"/>
    <w:rsid w:val="00750DEB"/>
    <w:rsid w:val="00751843"/>
    <w:rsid w:val="00752CBD"/>
    <w:rsid w:val="007679BA"/>
    <w:rsid w:val="00771FA5"/>
    <w:rsid w:val="007A25E5"/>
    <w:rsid w:val="007C3088"/>
    <w:rsid w:val="007D2FB6"/>
    <w:rsid w:val="007E5DB4"/>
    <w:rsid w:val="007F0EE7"/>
    <w:rsid w:val="008020EE"/>
    <w:rsid w:val="00811448"/>
    <w:rsid w:val="00811C7E"/>
    <w:rsid w:val="0083227A"/>
    <w:rsid w:val="008706B7"/>
    <w:rsid w:val="008741E1"/>
    <w:rsid w:val="0087428D"/>
    <w:rsid w:val="00874D39"/>
    <w:rsid w:val="0087665A"/>
    <w:rsid w:val="008873B3"/>
    <w:rsid w:val="008A5B98"/>
    <w:rsid w:val="008B1131"/>
    <w:rsid w:val="008C0727"/>
    <w:rsid w:val="008C563B"/>
    <w:rsid w:val="008C6016"/>
    <w:rsid w:val="008D26FF"/>
    <w:rsid w:val="008D4DAA"/>
    <w:rsid w:val="008D581A"/>
    <w:rsid w:val="008D7462"/>
    <w:rsid w:val="008F0200"/>
    <w:rsid w:val="008F3155"/>
    <w:rsid w:val="008F76E1"/>
    <w:rsid w:val="00902966"/>
    <w:rsid w:val="00903F2E"/>
    <w:rsid w:val="00912774"/>
    <w:rsid w:val="00926FE9"/>
    <w:rsid w:val="009374B2"/>
    <w:rsid w:val="0095359D"/>
    <w:rsid w:val="00956E98"/>
    <w:rsid w:val="0096051B"/>
    <w:rsid w:val="00966D20"/>
    <w:rsid w:val="00982A3F"/>
    <w:rsid w:val="00990CE3"/>
    <w:rsid w:val="00993E7F"/>
    <w:rsid w:val="00997413"/>
    <w:rsid w:val="009A5667"/>
    <w:rsid w:val="009A76EC"/>
    <w:rsid w:val="009B10CD"/>
    <w:rsid w:val="009B7A7A"/>
    <w:rsid w:val="009C76C7"/>
    <w:rsid w:val="009D3187"/>
    <w:rsid w:val="009D478C"/>
    <w:rsid w:val="009E6FFD"/>
    <w:rsid w:val="009F139B"/>
    <w:rsid w:val="009F23AE"/>
    <w:rsid w:val="00A0171E"/>
    <w:rsid w:val="00A1482A"/>
    <w:rsid w:val="00A221AC"/>
    <w:rsid w:val="00A25E5F"/>
    <w:rsid w:val="00A304EE"/>
    <w:rsid w:val="00A30F47"/>
    <w:rsid w:val="00A32023"/>
    <w:rsid w:val="00A357BE"/>
    <w:rsid w:val="00A627ED"/>
    <w:rsid w:val="00A65767"/>
    <w:rsid w:val="00AB4548"/>
    <w:rsid w:val="00AC785A"/>
    <w:rsid w:val="00B060AD"/>
    <w:rsid w:val="00B134A2"/>
    <w:rsid w:val="00B16D3B"/>
    <w:rsid w:val="00B20CFB"/>
    <w:rsid w:val="00B34369"/>
    <w:rsid w:val="00B6795C"/>
    <w:rsid w:val="00B728B8"/>
    <w:rsid w:val="00B73225"/>
    <w:rsid w:val="00B96FAA"/>
    <w:rsid w:val="00B97876"/>
    <w:rsid w:val="00BA0BE6"/>
    <w:rsid w:val="00BA3E93"/>
    <w:rsid w:val="00BA70C8"/>
    <w:rsid w:val="00BC3640"/>
    <w:rsid w:val="00BC3D3E"/>
    <w:rsid w:val="00BF74EE"/>
    <w:rsid w:val="00C000AA"/>
    <w:rsid w:val="00C128D5"/>
    <w:rsid w:val="00C12AA5"/>
    <w:rsid w:val="00C248A8"/>
    <w:rsid w:val="00C27193"/>
    <w:rsid w:val="00C27A8F"/>
    <w:rsid w:val="00C37B5E"/>
    <w:rsid w:val="00C506BE"/>
    <w:rsid w:val="00C574FF"/>
    <w:rsid w:val="00C65AD5"/>
    <w:rsid w:val="00C80E71"/>
    <w:rsid w:val="00C92225"/>
    <w:rsid w:val="00C9736E"/>
    <w:rsid w:val="00CA006D"/>
    <w:rsid w:val="00CA0FB6"/>
    <w:rsid w:val="00CA525B"/>
    <w:rsid w:val="00CB4127"/>
    <w:rsid w:val="00CC1416"/>
    <w:rsid w:val="00CC1AB4"/>
    <w:rsid w:val="00CC2885"/>
    <w:rsid w:val="00CC558A"/>
    <w:rsid w:val="00CD0213"/>
    <w:rsid w:val="00CE24FB"/>
    <w:rsid w:val="00CE7A99"/>
    <w:rsid w:val="00CF205B"/>
    <w:rsid w:val="00CF4093"/>
    <w:rsid w:val="00D037C6"/>
    <w:rsid w:val="00D066EE"/>
    <w:rsid w:val="00D10196"/>
    <w:rsid w:val="00D13AA4"/>
    <w:rsid w:val="00D21A5E"/>
    <w:rsid w:val="00D21E4A"/>
    <w:rsid w:val="00D61DD7"/>
    <w:rsid w:val="00D62F23"/>
    <w:rsid w:val="00D81A38"/>
    <w:rsid w:val="00D84E8C"/>
    <w:rsid w:val="00D96A7C"/>
    <w:rsid w:val="00D9733A"/>
    <w:rsid w:val="00D97807"/>
    <w:rsid w:val="00DA25DB"/>
    <w:rsid w:val="00DA6A98"/>
    <w:rsid w:val="00DB4CD2"/>
    <w:rsid w:val="00DC6E03"/>
    <w:rsid w:val="00DE29D1"/>
    <w:rsid w:val="00DF4BC4"/>
    <w:rsid w:val="00E10AF8"/>
    <w:rsid w:val="00E56F82"/>
    <w:rsid w:val="00E57098"/>
    <w:rsid w:val="00E66DD9"/>
    <w:rsid w:val="00E7151A"/>
    <w:rsid w:val="00E7383D"/>
    <w:rsid w:val="00E94D55"/>
    <w:rsid w:val="00EA74D3"/>
    <w:rsid w:val="00EB10A7"/>
    <w:rsid w:val="00EB72E3"/>
    <w:rsid w:val="00EC209A"/>
    <w:rsid w:val="00ED3823"/>
    <w:rsid w:val="00ED7C81"/>
    <w:rsid w:val="00EF4DA7"/>
    <w:rsid w:val="00F40121"/>
    <w:rsid w:val="00F4650F"/>
    <w:rsid w:val="00F52A83"/>
    <w:rsid w:val="00F7249D"/>
    <w:rsid w:val="00F77268"/>
    <w:rsid w:val="00F86520"/>
    <w:rsid w:val="00F86FF0"/>
    <w:rsid w:val="00F928EB"/>
    <w:rsid w:val="00F95000"/>
    <w:rsid w:val="00FA6770"/>
    <w:rsid w:val="00FC2361"/>
    <w:rsid w:val="00FD4186"/>
    <w:rsid w:val="00FD7792"/>
    <w:rsid w:val="00FE0D82"/>
    <w:rsid w:val="00FF3F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2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529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29B6"/>
    <w:rPr>
      <w:rFonts w:ascii="Tahoma" w:hAnsi="Tahoma" w:cs="Tahoma"/>
      <w:sz w:val="16"/>
      <w:szCs w:val="16"/>
    </w:rPr>
  </w:style>
  <w:style w:type="paragraph" w:styleId="Paragraphedeliste">
    <w:name w:val="List Paragraph"/>
    <w:basedOn w:val="Normal"/>
    <w:uiPriority w:val="34"/>
    <w:qFormat/>
    <w:rsid w:val="003529B6"/>
    <w:pPr>
      <w:ind w:left="720"/>
      <w:contextualSpacing/>
    </w:pPr>
  </w:style>
  <w:style w:type="paragraph" w:styleId="En-tte">
    <w:name w:val="header"/>
    <w:basedOn w:val="Normal"/>
    <w:link w:val="En-tteCar"/>
    <w:uiPriority w:val="99"/>
    <w:unhideWhenUsed/>
    <w:rsid w:val="002F3564"/>
    <w:pPr>
      <w:tabs>
        <w:tab w:val="center" w:pos="4680"/>
        <w:tab w:val="right" w:pos="9360"/>
      </w:tabs>
      <w:spacing w:after="0" w:line="240" w:lineRule="auto"/>
    </w:pPr>
  </w:style>
  <w:style w:type="character" w:customStyle="1" w:styleId="En-tteCar">
    <w:name w:val="En-tête Car"/>
    <w:basedOn w:val="Policepardfaut"/>
    <w:link w:val="En-tte"/>
    <w:uiPriority w:val="99"/>
    <w:rsid w:val="002F3564"/>
  </w:style>
  <w:style w:type="paragraph" w:customStyle="1" w:styleId="Default">
    <w:name w:val="Default"/>
    <w:rsid w:val="00185A45"/>
    <w:pPr>
      <w:autoSpaceDE w:val="0"/>
      <w:autoSpaceDN w:val="0"/>
      <w:adjustRightInd w:val="0"/>
      <w:spacing w:after="0" w:line="240" w:lineRule="auto"/>
    </w:pPr>
    <w:rPr>
      <w:rFonts w:ascii="Cambria" w:hAnsi="Cambria" w:cs="Cambria"/>
      <w:color w:val="000000"/>
      <w:sz w:val="24"/>
      <w:szCs w:val="24"/>
    </w:rPr>
  </w:style>
  <w:style w:type="paragraph" w:styleId="Pieddepage">
    <w:name w:val="footer"/>
    <w:basedOn w:val="Normal"/>
    <w:link w:val="PieddepageCar"/>
    <w:uiPriority w:val="99"/>
    <w:unhideWhenUsed/>
    <w:rsid w:val="007E5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5DB4"/>
  </w:style>
  <w:style w:type="paragraph" w:styleId="Notedebasdepage">
    <w:name w:val="footnote text"/>
    <w:basedOn w:val="Normal"/>
    <w:link w:val="NotedebasdepageCar"/>
    <w:uiPriority w:val="99"/>
    <w:unhideWhenUsed/>
    <w:rsid w:val="00DB4CD2"/>
    <w:pPr>
      <w:spacing w:after="0" w:line="240" w:lineRule="auto"/>
    </w:pPr>
    <w:rPr>
      <w:sz w:val="20"/>
      <w:szCs w:val="20"/>
    </w:rPr>
  </w:style>
  <w:style w:type="character" w:customStyle="1" w:styleId="NotedebasdepageCar">
    <w:name w:val="Note de bas de page Car"/>
    <w:basedOn w:val="Policepardfaut"/>
    <w:link w:val="Notedebasdepage"/>
    <w:uiPriority w:val="99"/>
    <w:rsid w:val="00DB4CD2"/>
    <w:rPr>
      <w:sz w:val="20"/>
      <w:szCs w:val="20"/>
    </w:rPr>
  </w:style>
  <w:style w:type="character" w:styleId="Appelnotedebasdep">
    <w:name w:val="footnote reference"/>
    <w:basedOn w:val="Policepardfaut"/>
    <w:uiPriority w:val="99"/>
    <w:unhideWhenUsed/>
    <w:rsid w:val="00DB4CD2"/>
    <w:rPr>
      <w:vertAlign w:val="superscript"/>
    </w:rPr>
  </w:style>
  <w:style w:type="paragraph" w:customStyle="1" w:styleId="Listecouleur-Accent11">
    <w:name w:val="Liste couleur - Accent 11"/>
    <w:basedOn w:val="Normal"/>
    <w:rsid w:val="00243BB5"/>
    <w:pPr>
      <w:suppressAutoHyphens/>
      <w:spacing w:after="0" w:line="240" w:lineRule="auto"/>
      <w:ind w:left="720"/>
    </w:pPr>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2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B6"/>
    <w:rPr>
      <w:rFonts w:ascii="Tahoma" w:hAnsi="Tahoma" w:cs="Tahoma"/>
      <w:sz w:val="16"/>
      <w:szCs w:val="16"/>
    </w:rPr>
  </w:style>
  <w:style w:type="paragraph" w:styleId="ListParagraph">
    <w:name w:val="List Paragraph"/>
    <w:basedOn w:val="Normal"/>
    <w:uiPriority w:val="34"/>
    <w:qFormat/>
    <w:rsid w:val="003529B6"/>
    <w:pPr>
      <w:ind w:left="720"/>
      <w:contextualSpacing/>
    </w:pPr>
  </w:style>
  <w:style w:type="paragraph" w:styleId="Header">
    <w:name w:val="header"/>
    <w:basedOn w:val="Normal"/>
    <w:link w:val="HeaderChar"/>
    <w:uiPriority w:val="99"/>
    <w:unhideWhenUsed/>
    <w:rsid w:val="002F3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64"/>
  </w:style>
  <w:style w:type="paragraph" w:customStyle="1" w:styleId="Default">
    <w:name w:val="Default"/>
    <w:rsid w:val="00185A45"/>
    <w:pPr>
      <w:autoSpaceDE w:val="0"/>
      <w:autoSpaceDN w:val="0"/>
      <w:adjustRightInd w:val="0"/>
      <w:spacing w:after="0" w:line="240" w:lineRule="auto"/>
    </w:pPr>
    <w:rPr>
      <w:rFonts w:ascii="Cambria" w:hAnsi="Cambria" w:cs="Cambria"/>
      <w:color w:val="000000"/>
      <w:sz w:val="24"/>
      <w:szCs w:val="24"/>
    </w:rPr>
  </w:style>
  <w:style w:type="paragraph" w:styleId="Footer">
    <w:name w:val="footer"/>
    <w:basedOn w:val="Normal"/>
    <w:link w:val="FooterChar"/>
    <w:uiPriority w:val="99"/>
    <w:unhideWhenUsed/>
    <w:rsid w:val="007E5D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DB4"/>
  </w:style>
  <w:style w:type="paragraph" w:styleId="FootnoteText">
    <w:name w:val="footnote text"/>
    <w:basedOn w:val="Normal"/>
    <w:link w:val="FootnoteTextChar"/>
    <w:uiPriority w:val="99"/>
    <w:unhideWhenUsed/>
    <w:rsid w:val="00DB4CD2"/>
    <w:pPr>
      <w:spacing w:after="0" w:line="240" w:lineRule="auto"/>
    </w:pPr>
    <w:rPr>
      <w:sz w:val="20"/>
      <w:szCs w:val="20"/>
    </w:rPr>
  </w:style>
  <w:style w:type="character" w:customStyle="1" w:styleId="FootnoteTextChar">
    <w:name w:val="Footnote Text Char"/>
    <w:basedOn w:val="DefaultParagraphFont"/>
    <w:link w:val="FootnoteText"/>
    <w:uiPriority w:val="99"/>
    <w:rsid w:val="00DB4CD2"/>
    <w:rPr>
      <w:sz w:val="20"/>
      <w:szCs w:val="20"/>
    </w:rPr>
  </w:style>
  <w:style w:type="character" w:styleId="FootnoteReference">
    <w:name w:val="footnote reference"/>
    <w:basedOn w:val="DefaultParagraphFont"/>
    <w:uiPriority w:val="99"/>
    <w:unhideWhenUsed/>
    <w:rsid w:val="00DB4CD2"/>
    <w:rPr>
      <w:vertAlign w:val="superscript"/>
    </w:rPr>
  </w:style>
  <w:style w:type="paragraph" w:customStyle="1" w:styleId="Listecouleur-Accent11">
    <w:name w:val="Liste couleur - Accent 11"/>
    <w:basedOn w:val="Normal"/>
    <w:rsid w:val="00243BB5"/>
    <w:pPr>
      <w:suppressAutoHyphens/>
      <w:spacing w:after="0" w:line="240" w:lineRule="auto"/>
      <w:ind w:left="720"/>
    </w:pPr>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590A-B065-4FDA-B2D6-DBA7C9AB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2162</Words>
  <Characters>11895</Characters>
  <Application>Microsoft Office Word</Application>
  <DocSecurity>0</DocSecurity>
  <Lines>99</Lines>
  <Paragraphs>28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Anani HONLIASSO</dc:creator>
  <cp:lastModifiedBy>ProBook</cp:lastModifiedBy>
  <cp:revision>5</cp:revision>
  <dcterms:created xsi:type="dcterms:W3CDTF">2016-06-23T20:00:00Z</dcterms:created>
  <dcterms:modified xsi:type="dcterms:W3CDTF">2016-06-29T16:38:00Z</dcterms:modified>
</cp:coreProperties>
</file>